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 w:eastAsia="Calibri"/>
          <w:b/>
          <w:color w:val="FF7A59"/>
          <w:sz w:val="19"/>
        </w:rPr>
        <w:t>ALDERHALL  /  WZÓR ROBOCZY</w:t>
      </w:r>
    </w:p>
    <w:p>
      <w:pPr>
        <w:spacing w:after="80"/>
      </w:pPr>
      <w:r>
        <w:rPr>
          <w:rFonts w:ascii="Calibri" w:hAnsi="Calibri" w:eastAsia="Calibri"/>
          <w:b/>
          <w:color w:val="1B2430"/>
          <w:sz w:val="48"/>
        </w:rPr>
        <w:t>Umowa o zachowaniu poufności (NDA) - wzór wzajemny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Wersja:</w:t>
      </w:r>
      <w:r>
        <w:rPr>
          <w:rFonts w:ascii="Calibri" w:hAnsi="Calibri" w:eastAsia="Calibri"/>
          <w:b w:val="0"/>
          <w:color w:val="5F6B7A"/>
          <w:sz w:val="19"/>
        </w:rPr>
        <w:t xml:space="preserve"> 0.9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Data:</w:t>
      </w:r>
      <w:r>
        <w:rPr>
          <w:rFonts w:ascii="Calibri" w:hAnsi="Calibri" w:eastAsia="Calibri"/>
          <w:b w:val="0"/>
          <w:color w:val="5F6B7A"/>
          <w:sz w:val="19"/>
        </w:rPr>
        <w:t xml:space="preserve"> 31 lipca 2026 r.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Status:</w:t>
      </w:r>
      <w:r>
        <w:rPr>
          <w:rFonts w:ascii="Calibri" w:hAnsi="Calibri" w:eastAsia="Calibri"/>
          <w:b w:val="0"/>
          <w:color w:val="5F6B7A"/>
          <w:sz w:val="19"/>
        </w:rPr>
        <w:t xml:space="preserve"> do przeglądu prawnego</w:t>
      </w:r>
    </w:p>
    <w:p>
      <w:pPr>
        <w:spacing w:before="200" w:after="160"/>
        <w:pBdr>
          <w:left w:val="single" w:sz="16" w:space="8" w:color="2F5BFF"/>
        </w:pBdr>
        <w:shd w:fill="F1F5FF"/>
      </w:pPr>
      <w:r>
        <w:rPr>
          <w:rFonts w:ascii="Calibri" w:hAnsi="Calibri" w:eastAsia="Calibri"/>
          <w:b/>
          <w:color w:val="1B2430"/>
          <w:sz w:val="20"/>
        </w:rPr>
        <w:t>Dokument wymaga uzupełnienia pól i końcowego przeglądu przed użyciem produkcyjnym.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NDA może zostać podpisane przed przekazaniem szczegółów Sprawy i obejmuje również informacje ujawnione w rozmowach poprzedzających podpisanie.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1. Strony i cel</w:t>
      </w:r>
    </w:p>
    <w:p>
      <w:r>
        <w:rPr>
          <w:rFonts w:ascii="Calibri" w:hAnsi="Calibri" w:eastAsia="Calibri"/>
          <w:b w:val="0"/>
          <w:color w:val="1B2430"/>
          <w:sz w:val="22"/>
        </w:rPr>
        <w:t xml:space="preserve">Umowa zostaje zawarta w dniu </w:t>
      </w:r>
      <w:r>
        <w:rPr>
          <w:rFonts w:ascii="Calibri" w:hAnsi="Calibri" w:eastAsia="Calibri"/>
          <w:b/>
          <w:color w:val="1B2430"/>
          <w:sz w:val="22"/>
        </w:rPr>
        <w:t>[data]</w:t>
      </w:r>
      <w:r>
        <w:rPr>
          <w:rFonts w:ascii="Calibri" w:hAnsi="Calibri" w:eastAsia="Calibri"/>
          <w:b w:val="0"/>
          <w:color w:val="1B2430"/>
          <w:sz w:val="22"/>
        </w:rPr>
        <w:t xml:space="preserve"> pomiędzy:</w:t>
      </w:r>
    </w:p>
    <w:p>
      <w:r>
        <w:rPr>
          <w:rFonts w:ascii="Calibri" w:hAnsi="Calibri" w:eastAsia="Calibri"/>
          <w:b/>
          <w:color w:val="1B2430"/>
          <w:sz w:val="22"/>
        </w:rPr>
        <w:t>ARSIMO sp. z o.o.</w:t>
      </w:r>
      <w:r>
        <w:rPr>
          <w:rFonts w:ascii="Calibri" w:hAnsi="Calibri" w:eastAsia="Calibri"/>
          <w:b w:val="0"/>
          <w:color w:val="1B2430"/>
          <w:sz w:val="22"/>
        </w:rPr>
        <w:t xml:space="preserve">, ul. Augustyna Szamarzewskiego 21/2, 60-514 Poznań, KRS </w:t>
      </w:r>
      <w:r>
        <w:rPr>
          <w:rFonts w:ascii="Calibri" w:hAnsi="Calibri" w:eastAsia="Calibri"/>
          <w:b/>
          <w:color w:val="1B2430"/>
          <w:sz w:val="22"/>
        </w:rPr>
        <w:t>[KRS]</w:t>
      </w:r>
      <w:r>
        <w:rPr>
          <w:rFonts w:ascii="Calibri" w:hAnsi="Calibri" w:eastAsia="Calibri"/>
          <w:b w:val="0"/>
          <w:color w:val="1B2430"/>
          <w:sz w:val="22"/>
        </w:rPr>
        <w:t xml:space="preserve">, NIP </w:t>
      </w:r>
      <w:r>
        <w:rPr>
          <w:rFonts w:ascii="Calibri" w:hAnsi="Calibri" w:eastAsia="Calibri"/>
          <w:b/>
          <w:color w:val="1B2430"/>
          <w:sz w:val="22"/>
        </w:rPr>
        <w:t>[NIP]</w:t>
      </w:r>
      <w:r>
        <w:rPr>
          <w:rFonts w:ascii="Calibri" w:hAnsi="Calibri" w:eastAsia="Calibri"/>
          <w:b w:val="0"/>
          <w:color w:val="1B2430"/>
          <w:sz w:val="22"/>
        </w:rPr>
        <w:t>, reprezentowaną przez Kasandrę Nikolę Kamińską-Tatarę - Prezesa Zarządu, operatorem marki ALDERHALL, dalej „ALDERHALL”,</w:t>
      </w:r>
    </w:p>
    <w:p>
      <w:r>
        <w:rPr>
          <w:rFonts w:ascii="Calibri" w:hAnsi="Calibri" w:eastAsia="Calibri"/>
          <w:b w:val="0"/>
          <w:color w:val="1B2430"/>
          <w:sz w:val="22"/>
        </w:rPr>
        <w:t>a</w:t>
      </w:r>
    </w:p>
    <w:p>
      <w:r>
        <w:rPr>
          <w:rFonts w:ascii="Calibri" w:hAnsi="Calibri" w:eastAsia="Calibri"/>
          <w:b/>
          <w:color w:val="1B2430"/>
          <w:sz w:val="22"/>
        </w:rPr>
        <w:t>[pełna firma Klienta]</w:t>
      </w:r>
      <w:r>
        <w:rPr>
          <w:rFonts w:ascii="Calibri" w:hAnsi="Calibri" w:eastAsia="Calibri"/>
          <w:b w:val="0"/>
          <w:color w:val="1B2430"/>
          <w:sz w:val="22"/>
        </w:rPr>
        <w:t xml:space="preserve">, </w:t>
      </w:r>
      <w:r>
        <w:rPr>
          <w:rFonts w:ascii="Calibri" w:hAnsi="Calibri" w:eastAsia="Calibri"/>
          <w:b/>
          <w:color w:val="1B2430"/>
          <w:sz w:val="22"/>
        </w:rPr>
        <w:t>[adres, NIP, KRS/CEIDG, reprezentacja]</w:t>
      </w:r>
      <w:r>
        <w:rPr>
          <w:rFonts w:ascii="Calibri" w:hAnsi="Calibri" w:eastAsia="Calibri"/>
          <w:b w:val="0"/>
          <w:color w:val="1B2430"/>
          <w:sz w:val="22"/>
        </w:rPr>
        <w:t>, dalej „Klient”,</w:t>
      </w:r>
    </w:p>
    <w:p>
      <w:r>
        <w:rPr>
          <w:rFonts w:ascii="Calibri" w:hAnsi="Calibri" w:eastAsia="Calibri"/>
          <w:b w:val="0"/>
          <w:color w:val="1B2430"/>
          <w:sz w:val="22"/>
        </w:rPr>
        <w:t>łącznie zwanymi „Stronami”.</w:t>
      </w:r>
    </w:p>
    <w:p>
      <w:r>
        <w:rPr>
          <w:rFonts w:ascii="Calibri" w:hAnsi="Calibri" w:eastAsia="Calibri"/>
          <w:b w:val="0"/>
          <w:color w:val="1B2430"/>
          <w:sz w:val="22"/>
        </w:rPr>
        <w:t>Celem jest bezpieczna ocena możliwości współpracy, przygotowanie oferty oraz realizacja lub omówienie usług operacyjnych, cyfrowych i organizacyjnych („Cel”).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2. Informacje Poufne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Informacją Poufną jest każda niepubliczna informacja ujawniona przez jedną Stronę („Ujawniająca”) drugiej Stronie („Otrzymująca”), niezależnie od nośnika i oznaczenia, jeżeli z jej charakteru lub okoliczności wynika potrzeba poufności.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Poufne obejmują w szczególności: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strategie, ceny, marże, koszty i dane finansowe;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dane klientów, pracowników, dostawców i partnerów;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korespondencję, umowy, pisma, spory i informacje o kontrolach;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technologie, konfiguracje, hasła, klucze, architekturę i zabezpieczenia;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procedury, know-how, szablony, plany, projekty i kod;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sam fakt kontaktu, negocjacji lub współpracy, jeżeli Strona Ujawniająca nie podała go publicznie;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ujawnione przed podpisaniem NDA w związku z Celem.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Tajemnica przedsiębiorstwa jest chroniona w zakresie i przez okres wynikający z prawa, niezależnie od czasu obowiązywania pozostałych zobowiązań.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3. Wyłączenia</w:t>
      </w:r>
    </w:p>
    <w:p>
      <w:r>
        <w:rPr>
          <w:rFonts w:ascii="Calibri" w:hAnsi="Calibri" w:eastAsia="Calibri"/>
          <w:b w:val="0"/>
          <w:color w:val="1B2430"/>
          <w:sz w:val="22"/>
        </w:rPr>
        <w:t>Zobowiązanie nie dotyczy informacji, które Otrzymująca wykaże jako: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publicznie dostępne bez naruszenia NDA;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legalnie znane Otrzymującej przed ujawnieniem;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legalnie uzyskane od osoby trzeciej bez obowiązku poufności;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niezależnie opracowane bez użycia Informacji Poufnych;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ujawnione za pisemną zgodą Ujawniającej.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4. Obowiązki Otrzymującej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Poufne są używane wyłącznie dla Celu.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Dostęp otrzymują wyłącznie osoby, którym jest on niezbędny i które są związane poufnością co najmniej równoważną.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Otrzymująca stosuje rozsądne środki techniczne i organizacyjne, nie słabsze niż wobec własnych informacji o podobnej wrażliwości.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nie mogą być kopiowane, eksportowane ani łączone z innym zbiorem ponad zakres konieczny dla Celu.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Dane identyfikujące nie są wprowadzane do publicznych modeli generatywnej AI. Użycie innego narzędzia wymaga zgodności z uzgodnioną polityką danych.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nie mogą być wykorzystane do konkurowania, obejścia Strony Ujawniającej, pozyskania jej klienta ani działania w sporze przeciwko niej poza realizacją legalnego prawa.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Otrzymująca niezwłocznie informuje o podejrzeniu utraty, nieuprawnionego dostępu lub ujawnienia.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5. Osoby i podmioty trzecie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mogą otrzymać pracownicy, współpracownicy i zatwierdzeni podwykonawcy wyłącznie według potrzeby.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Otrzymująca odpowiada za naruszenie przez osobę, której udostępniła informacje, jak za własne działanie, w zakresie dopuszczalnym prawem.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Przekazanie danych osobowych podmiotowi przetwarzającemu wymaga dodatkowo właściwej podstawy i - gdy ma zastosowanie - umowy powierzenia.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Udział radcy prawnego, adwokata, doradcy podatkowego, księgowego lub ubezpieczyciela jest dopuszczalny w zakresie niezbędnym i przy obowiązku tajemnicy.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6. Ujawnienie wymagane prawem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Otrzymująca może ujawnić Informację Poufną, jeżeli wymaga tego bezwzględnie obowiązujące prawo albo wiążące żądanie sądu, prokuratora, Policji lub innego uprawnionego organu.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Ujawnienie ogranicza się do minimalnego wymaganego zakresu.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prawo nie zabrania, Otrzymująca przed ujawnieniem informuje Ujawniającą, przekazuje treść żądania i umożliwia podjęcie legalnych środków ochrony.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Otrzymująca oznacza informacje jako poufne lub tajemnicę przedsiębiorstwa, jeżeli procedura na to pozwala.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7. Dane osobowe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NDA nie zastępuje obowiązków RODO.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Każda Strona może być niezależnym administratorem danych osób kontaktowych w celu zawarcia i wykonania umowy.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ALDERHALL przetwarza dane w imieniu Klienta, Strony zawierają odrębną Umowę Powierzenia przed rozpoczęciem takiego przetwarzania.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8. Zwrot i usunięcie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Na żądanie Ujawniającej albo po zakończeniu Celu Otrzymująca zwraca lub usuwa Informacje Poufne w rozsądnym terminie, nie dłuższym niż </w:t>
      </w:r>
      <w:r>
        <w:rPr>
          <w:rFonts w:ascii="Calibri" w:hAnsi="Calibri" w:eastAsia="Calibri"/>
          <w:b/>
          <w:color w:val="1B2430"/>
          <w:sz w:val="22"/>
        </w:rPr>
        <w:t>[14] dni</w:t>
      </w:r>
      <w:r>
        <w:rPr>
          <w:rFonts w:ascii="Calibri" w:hAnsi="Calibri" w:eastAsia="Calibri"/>
          <w:b w:val="0"/>
          <w:color w:val="1B2430"/>
          <w:sz w:val="22"/>
        </w:rPr>
        <w:t>, i potwierdza wykonanie.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Wyłączenie dotyczy kopii wymaganych prawem, dokumentacji obrony roszczeń i cyklicznych kopii bezpieczeństwa, których selektywne usunięcie jest niewspółmierne. Pozostają one objęte NDA i są usuwane w normalnym cyklu.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Wiedza ogólna i doświadczenie niezawierające danych, identyfikatorów ani odtwarzalnej tajemnicy mogą pozostać wykorzystane jako know-how Otrzymującej.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9. Portfolio, referencje i publikacja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Nazwa, logo, fakt współpracy, treść problemu, rezultat, wskaźnik lub cytat nie mogą zostać opublikowane bez odrębnej pisemnej zgody na dokładną treść i kanał.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Zgoda na jedną publikację nie oznacza zgody na kolejne użycie.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Materiał anonimowy nadal wymaga zgody, jeżeli zestaw informacji pozwala rozpoznać Ujawniającą.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10. Czas obowiązywania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NDA obowiązuje od dnia podpisania i obejmuje wcześniejsze ujawnienia związane z Celem.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Dla informacji innych niż tajemnica przedsiębiorstwa obowiązek trwa przez </w:t>
      </w:r>
      <w:r>
        <w:rPr>
          <w:rFonts w:ascii="Calibri" w:hAnsi="Calibri" w:eastAsia="Calibri"/>
          <w:b/>
          <w:color w:val="1B2430"/>
          <w:sz w:val="22"/>
        </w:rPr>
        <w:t>[5] lat</w:t>
      </w:r>
      <w:r>
        <w:rPr>
          <w:rFonts w:ascii="Calibri" w:hAnsi="Calibri" w:eastAsia="Calibri"/>
          <w:b w:val="0"/>
          <w:color w:val="1B2430"/>
          <w:sz w:val="22"/>
        </w:rPr>
        <w:t xml:space="preserve"> od ostatniego ujawnienia.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Dla tajemnicy przedsiębiorstwa obowiązek trwa tak długo, jak informacja spełnia ustawowe warunki ochrony.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Obowiązki dotyczące danych osobowych trwają przez okres wynikający z prawa i właściwej podstawy przetwarzania.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11. Naruszenie i kara umowna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Strona naruszająca niezwłocznie ogranicza skutek, współpracuje przy zawiadomieniach i przekazuje znane informacje o zdarzeniu.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Za zawinione naruszenie obowiązku poufności Strona zapłaci karę umowną w wysokości </w:t>
      </w:r>
      <w:r>
        <w:rPr>
          <w:rFonts w:ascii="Calibri" w:hAnsi="Calibri" w:eastAsia="Calibri"/>
          <w:b/>
          <w:color w:val="1B2430"/>
          <w:sz w:val="22"/>
        </w:rPr>
        <w:t>[10 000 / 25 000] zł</w:t>
      </w:r>
      <w:r>
        <w:rPr>
          <w:rFonts w:ascii="Calibri" w:hAnsi="Calibri" w:eastAsia="Calibri"/>
          <w:b w:val="0"/>
          <w:color w:val="1B2430"/>
          <w:sz w:val="22"/>
        </w:rPr>
        <w:t xml:space="preserve"> za zdarzenie.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Zapłata kary </w:t>
      </w:r>
      <w:r>
        <w:rPr>
          <w:rFonts w:ascii="Calibri" w:hAnsi="Calibri" w:eastAsia="Calibri"/>
          <w:b/>
          <w:color w:val="1B2430"/>
          <w:sz w:val="22"/>
        </w:rPr>
        <w:t>[nie wyłącza / wyłącza]</w:t>
      </w:r>
      <w:r>
        <w:rPr>
          <w:rFonts w:ascii="Calibri" w:hAnsi="Calibri" w:eastAsia="Calibri"/>
          <w:b w:val="0"/>
          <w:color w:val="1B2430"/>
          <w:sz w:val="22"/>
        </w:rPr>
        <w:t xml:space="preserve"> dochodzenia odszkodowania ponad jej wysokość. Wariant należy wybrać po przeglądzie prawnym i ocenie polisy OC.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Kara nie jest naliczana za ujawnienie zgodne z § 6 albo incydent pomimo zachowania wymaganych środków, jeżeli brak winy potwierdza analiza zdarzenia.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12. Brak przeniesienia praw i zobowiązania do współpracy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Ujawnienie nie przenosi praw własności intelektualnej ani licencji poza prawem użycia dla Celu.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NDA nie zobowiązuje do zawarcia umowy głównej ani ujawnienia określonego zakresu informacji.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Każda Strona decyduje, jakie informacje są niezbędne i powinna stosować zasadę minimalizacji.</w:t>
      </w:r>
    </w:p>
    <w:p>
      <w:pPr>
        <w:pStyle w:val="Heading1"/>
        <w:keepNext w:val="1"/>
        <w:pageBreakBefore/>
      </w:pPr>
      <w:r>
        <w:rPr>
          <w:rFonts w:ascii="Calibri" w:hAnsi="Calibri" w:eastAsia="Calibri"/>
          <w:b/>
          <w:color w:val="2F5BFF"/>
          <w:sz w:val="32"/>
        </w:rPr>
        <w:t>§ 13. Postanowienia końcowe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 NDA stosuje się prawo polskie.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Zmiany wymagają formy dokumentowej, chyba że prawo wymaga formy szczególnej.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Spór Strony spróbują rozwiązać polubownie w ciągu 14 dni, a następnie poddadzą go sądowi </w:t>
      </w:r>
      <w:r>
        <w:rPr>
          <w:rFonts w:ascii="Calibri" w:hAnsi="Calibri" w:eastAsia="Calibri"/>
          <w:b/>
          <w:color w:val="1B2430"/>
          <w:sz w:val="22"/>
        </w:rPr>
        <w:t>[właściwemu dla siedziby pozwanego / uzgodnionemu]</w:t>
      </w:r>
      <w:r>
        <w:rPr>
          <w:rFonts w:ascii="Calibri" w:hAnsi="Calibri" w:eastAsia="Calibri"/>
          <w:b w:val="0"/>
          <w:color w:val="1B2430"/>
          <w:sz w:val="22"/>
        </w:rPr>
        <w:t>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Nieważność części NDA nie narusza pozostałych postanowień.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Podpisy</w:t>
      </w:r>
    </w:p>
    <w:p>
      <w:r>
        <w:rPr>
          <w:rFonts w:ascii="Calibri" w:hAnsi="Calibri" w:eastAsia="Calibri"/>
          <w:b/>
          <w:color w:val="1B2430"/>
          <w:sz w:val="22"/>
        </w:rPr>
        <w:t>ALDERHALL / ARSIMO sp. z o.o.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Kasandra Nikola Kamińska-Tatara Funkcja: Prezes Zarządu Data i podpis: ______________________________</w:t>
      </w:r>
    </w:p>
    <w:p>
      <w:r>
        <w:rPr>
          <w:rFonts w:ascii="Calibri" w:hAnsi="Calibri" w:eastAsia="Calibri"/>
          <w:b/>
          <w:color w:val="1B2430"/>
          <w:sz w:val="22"/>
        </w:rPr>
        <w:t>KLIENT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____________________________ Funkcja: __________________________________ Data i podpis: ______________________________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F6B7A"/>
        <w:sz w:val="17"/>
      </w:rPr>
      <w:t xml:space="preserve">31.07.2026  |  strona </w:t>
    </w:r>
    <w:r>
      <w:rPr>
        <w:rFonts w:ascii="Calibri" w:hAnsi="Calibri" w:eastAsia="Calibri"/>
        <w:color w:val="5F6B7A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5F6B7A"/>
        <w:sz w:val="17"/>
      </w:rPr>
      <w:t>ALDERHALL  |  DOKUMENT ROBOCZY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Arial" w:hAnsi="Arial"/>
      </w:rPr>
    </w:lvl>
  </w:abstractNum>
  <w:num w:numId="10">
    <w:abstractNumId w:val="9"/>
    <w:lvlOverride w:ilvl="0">
      <w:startOverride w:val="1"/>
    </w:lvlOverride>
  </w:num>
  <w:num w:numId="11">
    <w:abstractNumId w:val="10"/>
  </w:num>
  <w:num w:numId="12">
    <w:abstractNumId w:val="9"/>
    <w:lvlOverride w:ilvl="0">
      <w:startOverride w:val="3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color w:val="1B24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52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5B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5B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B3E9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04_nda</dc:title>
  <dc:subject>ALDERHALL - dokument roboczy</dc:subject>
  <dc:creator/>
  <cp:keywords>ALDERHALL, Arsimo, biuro operacyjne</cp:keywords>
  <dc:description>Wersja robocza do przeglądu przed użyciem produkcyjnym.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