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Calibri" w:hAnsi="Calibri" w:eastAsia="Calibri"/>
          <w:b/>
          <w:color w:val="FF7A59"/>
          <w:sz w:val="19"/>
        </w:rPr>
        <w:t>ALDERHALL  /  WZÓR ROBOCZY</w:t>
      </w:r>
    </w:p>
    <w:p>
      <w:pPr>
        <w:spacing w:after="80"/>
      </w:pPr>
      <w:r>
        <w:rPr>
          <w:rFonts w:ascii="Calibri" w:hAnsi="Calibri" w:eastAsia="Calibri"/>
          <w:b/>
          <w:color w:val="1B2430"/>
          <w:sz w:val="48"/>
        </w:rPr>
        <w:t>Umowa powierzenia przetwarzania danych osobowych - wzór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Wersja:</w:t>
      </w:r>
      <w:r>
        <w:rPr>
          <w:rFonts w:ascii="Calibri" w:hAnsi="Calibri" w:eastAsia="Calibri"/>
          <w:b w:val="0"/>
          <w:color w:val="5F6B7A"/>
          <w:sz w:val="19"/>
        </w:rPr>
        <w:t xml:space="preserve"> 0.9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Data:</w:t>
      </w:r>
      <w:r>
        <w:rPr>
          <w:rFonts w:ascii="Calibri" w:hAnsi="Calibri" w:eastAsia="Calibri"/>
          <w:b w:val="0"/>
          <w:color w:val="5F6B7A"/>
          <w:sz w:val="19"/>
        </w:rPr>
        <w:t xml:space="preserve"> 31 lipca 2026 r.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Status:</w:t>
      </w:r>
      <w:r>
        <w:rPr>
          <w:rFonts w:ascii="Calibri" w:hAnsi="Calibri" w:eastAsia="Calibri"/>
          <w:b w:val="0"/>
          <w:color w:val="5F6B7A"/>
          <w:sz w:val="19"/>
        </w:rPr>
        <w:t xml:space="preserve"> do przeglądu osoby odpowiedzialnej za ochronę danych</w:t>
      </w:r>
    </w:p>
    <w:p>
      <w:pPr>
        <w:spacing w:before="200" w:after="160"/>
        <w:pBdr>
          <w:left w:val="single" w:sz="16" w:space="8" w:color="2F5BFF"/>
        </w:pBdr>
        <w:shd w:fill="F1F5FF"/>
      </w:pPr>
      <w:r>
        <w:rPr>
          <w:rFonts w:ascii="Calibri" w:hAnsi="Calibri" w:eastAsia="Calibri"/>
          <w:b/>
          <w:color w:val="1B2430"/>
          <w:sz w:val="20"/>
        </w:rPr>
        <w:t>Dokument wymaga uzupełnienia pól i końcowego przeglądu przed użyciem produkcyjnym.</w:t>
      </w:r>
    </w:p>
    <w:p>
      <w:pPr>
        <w:spacing w:before="120" w:after="200" w:line="276" w:lineRule="auto"/>
        <w:ind w:left="202" w:right="115"/>
        <w:pBdr>
          <w:left w:val="single" w:sz="20" w:space="10" w:color="2F5BFF"/>
        </w:pBdr>
        <w:shd w:fill="F1F5FF"/>
      </w:pPr>
      <w:r>
        <w:rPr>
          <w:rFonts w:ascii="Calibri" w:hAnsi="Calibri" w:eastAsia="Calibri"/>
          <w:b w:val="0"/>
          <w:color w:val="1B2430"/>
          <w:sz w:val="22"/>
        </w:rPr>
        <w:t>Załącznik stosuje się tylko wtedy, gdy ARSIMO/ALDERHALL przetwarza dane osobowe w imieniu Klienta. Nie zastępuje analizy ról dla każdego procesu.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1. Strony i związek z umową główną</w:t>
      </w:r>
    </w:p>
    <w:p>
      <w:r>
        <w:rPr>
          <w:rFonts w:ascii="Calibri" w:hAnsi="Calibri" w:eastAsia="Calibri"/>
          <w:b w:val="0"/>
          <w:color w:val="1B2430"/>
          <w:sz w:val="22"/>
        </w:rPr>
        <w:t>Umowa zostaje zawarta pomiędzy:</w:t>
      </w:r>
    </w:p>
    <w:p>
      <w:r>
        <w:rPr>
          <w:rFonts w:ascii="Calibri" w:hAnsi="Calibri" w:eastAsia="Calibri"/>
          <w:b/>
          <w:color w:val="1B2430"/>
          <w:sz w:val="22"/>
        </w:rPr>
        <w:t>[pełna firma Klienta]</w:t>
      </w:r>
      <w:r>
        <w:rPr>
          <w:rFonts w:ascii="Calibri" w:hAnsi="Calibri" w:eastAsia="Calibri"/>
          <w:b w:val="0"/>
          <w:color w:val="1B2430"/>
          <w:sz w:val="22"/>
        </w:rPr>
        <w:t xml:space="preserve">, </w:t>
      </w:r>
      <w:r>
        <w:rPr>
          <w:rFonts w:ascii="Calibri" w:hAnsi="Calibri" w:eastAsia="Calibri"/>
          <w:b/>
          <w:color w:val="1B2430"/>
          <w:sz w:val="22"/>
        </w:rPr>
        <w:t>[dane]</w:t>
      </w:r>
      <w:r>
        <w:rPr>
          <w:rFonts w:ascii="Calibri" w:hAnsi="Calibri" w:eastAsia="Calibri"/>
          <w:b w:val="0"/>
          <w:color w:val="1B2430"/>
          <w:sz w:val="22"/>
        </w:rPr>
        <w:t>, dalej „Administrator”,</w:t>
      </w:r>
    </w:p>
    <w:p>
      <w:r>
        <w:rPr>
          <w:rFonts w:ascii="Calibri" w:hAnsi="Calibri" w:eastAsia="Calibri"/>
          <w:b w:val="0"/>
          <w:color w:val="1B2430"/>
          <w:sz w:val="22"/>
        </w:rPr>
        <w:t>a</w:t>
      </w:r>
    </w:p>
    <w:p>
      <w:r>
        <w:rPr>
          <w:rFonts w:ascii="Calibri" w:hAnsi="Calibri" w:eastAsia="Calibri"/>
          <w:b/>
          <w:color w:val="1B2430"/>
          <w:sz w:val="22"/>
        </w:rPr>
        <w:t>ARSIMO sp. z o.o.</w:t>
      </w:r>
      <w:r>
        <w:rPr>
          <w:rFonts w:ascii="Calibri" w:hAnsi="Calibri" w:eastAsia="Calibri"/>
          <w:b w:val="0"/>
          <w:color w:val="1B2430"/>
          <w:sz w:val="22"/>
        </w:rPr>
        <w:t xml:space="preserve">, ul. Augustyna Szamarzewskiego 21/2, 60-514 Poznań, KRS </w:t>
      </w:r>
      <w:r>
        <w:rPr>
          <w:rFonts w:ascii="Calibri" w:hAnsi="Calibri" w:eastAsia="Calibri"/>
          <w:b/>
          <w:color w:val="1B2430"/>
          <w:sz w:val="22"/>
        </w:rPr>
        <w:t>[KRS]</w:t>
      </w:r>
      <w:r>
        <w:rPr>
          <w:rFonts w:ascii="Calibri" w:hAnsi="Calibri" w:eastAsia="Calibri"/>
          <w:b w:val="0"/>
          <w:color w:val="1B2430"/>
          <w:sz w:val="22"/>
        </w:rPr>
        <w:t xml:space="preserve">, NIP </w:t>
      </w:r>
      <w:r>
        <w:rPr>
          <w:rFonts w:ascii="Calibri" w:hAnsi="Calibri" w:eastAsia="Calibri"/>
          <w:b/>
          <w:color w:val="1B2430"/>
          <w:sz w:val="22"/>
        </w:rPr>
        <w:t>[NIP]</w:t>
      </w:r>
      <w:r>
        <w:rPr>
          <w:rFonts w:ascii="Calibri" w:hAnsi="Calibri" w:eastAsia="Calibri"/>
          <w:b w:val="0"/>
          <w:color w:val="1B2430"/>
          <w:sz w:val="22"/>
        </w:rPr>
        <w:t>, operatorem marki ALDERHALL, dalej „Podmiot Przetwarzający”.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Powierzenie jest związane z Umową Ramową z dnia </w:t>
      </w:r>
      <w:r>
        <w:rPr>
          <w:rFonts w:ascii="Calibri" w:hAnsi="Calibri" w:eastAsia="Calibri"/>
          <w:b/>
          <w:color w:val="1B2430"/>
          <w:sz w:val="22"/>
        </w:rPr>
        <w:t>[data]</w:t>
      </w:r>
      <w:r>
        <w:rPr>
          <w:rFonts w:ascii="Calibri" w:hAnsi="Calibri" w:eastAsia="Calibri"/>
          <w:b w:val="0"/>
          <w:color w:val="1B2430"/>
          <w:sz w:val="22"/>
        </w:rPr>
        <w:t xml:space="preserve"> i zaakceptowanymi Zleceniami („Umowa Główna”).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 razie rozbieżności w sprawach ochrony danych pierwszeństwo ma niniejsza Umowa.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Pojęcia mają znaczenie nadane w RODO.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2. Przedmiot i czas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Administrator powierza dane wyłącznie w zakresie niezbędnym do kwalifikacji, realizacji, dokumentowania i zamknięcia Zleceń wskazanych w Załączniku A.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Przetwarzanie trwa od udostępnienia danych do ich zwrotu/usunięcia po zakończeniu Umowy Głównej lub Zlecenia, z uwzględnieniem retencji i kopii bezpieczeństwa.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nie staje się właścicielem danych ani nie może używać ich dla własnego marketingu, profili, portfolio lub trenowania modeli.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3. Udokumentowane polecenia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działa wyłącznie na udokumentowane polecenie Administratora, także przy transferze danych poza EOG.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Polecenia mogą wynikać z Umowy Głównej, Karty Zlecenia, Panelu lub wiadomości osoby uprawnionej.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polecenie zdaniem Podmiotu Przetwarzającego narusza RODO lub inne prawo ochrony danych, informuje on Administratora i wstrzymuje wykonanie w zakresie ryzyka, o ile prawo nie zabrania.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prawo nakazuje przetwarzanie niezależnie od polecenia, Podmiot Przetwarzający informuje Administratora przed rozpoczęciem, chyba że prawo zabrania takiej informacji.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4. Osoby upoważnione i poufność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Dostęp mają wyłącznie osoby upoważnione według potrzeby.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Osoby są związane poufnością ustawową, umowną lub pracowniczą i przeszkolone w zakresie powierzonych czynności.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prowadzi rejestr upoważnień i niezwłocznie odbiera dostęp po zmianie roli lub zakończeniu współpracy.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5. Środki techniczne i organizacyjne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wdraża środki adekwatne do ryzyka, opisane w Załączniku B.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Minimum obejmuje: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indywidualne konta i zakaz współdzielenia haseł;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MFA dla systemów, które je obsługują;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menedżer haseł lub bezpieczny kanał przekazania tajemnic;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kontrolę dostępu według roli i potrzeby;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szyfrowanie transmisji i urządzeń/nośników, gdzie jest zasadne;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aktualizacje, ochronę urządzeń i blokadę ekranu;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kopie bezpieczeństwa oraz test odtworzenia dla systemów krytycznych;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oddzielenie katalogów i projektów klientów;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rejestr dostępu administracyjnego i zmian wysokiego ryzyka;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procedurę incydentu, zakończenia i odebrania dostępu.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może zmieniać środki na równoważne lub silniejsze, o ile nie obniża uzgodnionego poziomu bezpieczeństwa.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Dla szczególnie wrażliwego Zlecenia Strony mogą uruchomić Tryb Sejf, ograniczający zewnętrzne narzędzia i zakres dostępu.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6. Podprocesorzy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Administrator udziela </w:t>
      </w:r>
      <w:r>
        <w:rPr>
          <w:rFonts w:ascii="Calibri" w:hAnsi="Calibri" w:eastAsia="Calibri"/>
          <w:b/>
          <w:color w:val="1B2430"/>
          <w:sz w:val="22"/>
        </w:rPr>
        <w:t>[ogólnej / szczegółowej]</w:t>
      </w:r>
      <w:r>
        <w:rPr>
          <w:rFonts w:ascii="Calibri" w:hAnsi="Calibri" w:eastAsia="Calibri"/>
          <w:b w:val="0"/>
          <w:color w:val="1B2430"/>
          <w:sz w:val="22"/>
        </w:rPr>
        <w:t xml:space="preserve"> zgody na dalsze powierzenie podmiotom wskazanym w Załączniku C.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Przy zgodzie ogólnej Podmiot Przetwarzający informuje o planowanej zmianie co najmniej </w:t>
      </w:r>
      <w:r>
        <w:rPr>
          <w:rFonts w:ascii="Calibri" w:hAnsi="Calibri" w:eastAsia="Calibri"/>
          <w:b/>
          <w:color w:val="1B2430"/>
          <w:sz w:val="22"/>
        </w:rPr>
        <w:t>[14] dni</w:t>
      </w:r>
      <w:r>
        <w:rPr>
          <w:rFonts w:ascii="Calibri" w:hAnsi="Calibri" w:eastAsia="Calibri"/>
          <w:b w:val="0"/>
          <w:color w:val="1B2430"/>
          <w:sz w:val="22"/>
        </w:rPr>
        <w:t xml:space="preserve"> wcześniej, umożliwiając uzasadniony sprzeciw.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Umowa z podprocesorem nakłada co najmniej te same obowiązki ochrony danych.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pozostaje wobec Administratora odpowiedzialny za wykonanie obowiązków podprocesora w zakresie wymaganym RODO.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Sprzeciw może spowodować zmianę narzędzia, ograniczenie Zlecenia albo rozwiązanie części usługi, jeżeli brak równoważnej alternatywy.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7. Transfery poza EOG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Dane nie są przekazywane poza EOG bez udokumentowanego polecenia i właściwego mechanizmu prawnego.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przekazuje informacje o lokalizacji i mechanizmie transferu dla używanych podprocesorów.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narzędzie generatywne lub chmurowe mogłoby powodować transfer, jego użycie wymaga wcześniejszej oceny i zgodności z Załącznikiem C.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8. Prawa osób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Przetwarzający, uwzględniając charakter przetwarzania, pomaga Administratorowi obsługiwać żądania osób.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Żądanie otrzymane bezpośrednio przekazuje Administratorowi bez zbędnej zwłoki, nie później niż w </w:t>
      </w:r>
      <w:r>
        <w:rPr>
          <w:rFonts w:ascii="Calibri" w:hAnsi="Calibri" w:eastAsia="Calibri"/>
          <w:b/>
          <w:color w:val="1B2430"/>
          <w:sz w:val="22"/>
        </w:rPr>
        <w:t>[2] dni robocze</w:t>
      </w:r>
      <w:r>
        <w:rPr>
          <w:rFonts w:ascii="Calibri" w:hAnsi="Calibri" w:eastAsia="Calibri"/>
          <w:b w:val="0"/>
          <w:color w:val="1B2430"/>
          <w:sz w:val="22"/>
        </w:rPr>
        <w:t>, i nie odpowiada merytorycznie bez polecenia, chyba że prawo wymaga inaczej.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Koszt niestandardowej pomocy wykraczającej poza zwykły zakres jest wcześniej uzgadniany, z wyjątkiem działań wymaganych z powodu naruszenia po stronie Podmiotu Przetwarzającego.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9. Pomoc w obowiązkach Administratora</w:t>
      </w:r>
    </w:p>
    <w:p>
      <w:r>
        <w:rPr>
          <w:rFonts w:ascii="Calibri" w:hAnsi="Calibri" w:eastAsia="Calibri"/>
          <w:b w:val="0"/>
          <w:color w:val="1B2430"/>
          <w:sz w:val="22"/>
        </w:rPr>
        <w:t>Podmiot Przetwarzający w rozsądnym zakresie pomaga w: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bezpieczeństwie przetwarzania;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analizie ryzyka i ocenie skutków DPIA;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konsultacji z organem nadzorczym;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rejestrze kategorii czynności;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ustaleniu faktów incydentu;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realizacji obowiązku zawiadomienia UODO i osób;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wykazaniu zgodności dla zakresu usług ALDERHALL.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10. Naruszenia ochrony danych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Podmiot Przetwarzający zgłasza Administratorowi stwierdzone naruszenie bez zbędnej zwłoki, docelowo nie później niż </w:t>
      </w:r>
      <w:r>
        <w:rPr>
          <w:rFonts w:ascii="Calibri" w:hAnsi="Calibri" w:eastAsia="Calibri"/>
          <w:b/>
          <w:color w:val="1B2430"/>
          <w:sz w:val="22"/>
        </w:rPr>
        <w:t>24 godziny</w:t>
      </w:r>
      <w:r>
        <w:rPr>
          <w:rFonts w:ascii="Calibri" w:hAnsi="Calibri" w:eastAsia="Calibri"/>
          <w:b w:val="0"/>
          <w:color w:val="1B2430"/>
          <w:sz w:val="22"/>
        </w:rPr>
        <w:t xml:space="preserve"> od potwierdzenia, że dotyczy powierzonych danych.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Pierwsze zgłoszenie zawiera dostępne informacje: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charakter i przybliżony zakres;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kategorie danych i osób;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czas wykrycia i prawdopodobny czas zdarzenia;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możliwe konsekwencje;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podjęte i planowane działania;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osobę kontaktową;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informacje jeszcze nieznane i plan ich ustalenia.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Brak pełnych danych nie opóźnia zgłoszenia; informacje są uzupełniane etapami.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zabezpiecza dowody, ogranicza skutek i współpracuje przy analizie.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Komunikację z UODO i osobami prowadzi Administrator, chyba że udzieli odrębnego upoważnienia.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11. Audyt i informacje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udostępnia informacje potrzebne do wykazania zgodności w zakresie usług.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Administrator może przeprowadzić audyt nie częściej niż raz w roku, z co najmniej 14-dniowym wyprzedzeniem, w sposób nienaruszający bezpieczeństwa innych klientów.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Ograniczenie częstotliwości nie dotyczy uzasadnionego incydentu, żądania organu ani istotnego podejrzenia naruszenia.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 pierwszej kolejności wykorzystuje się dokumenty, ankietę, certyfikaty i zdalne dowody. Audyt na miejscu wymaga uzgodnienia zakresu i poufności audytora.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Koszt zwykłego audytu ponosi Administrator; koszt usunięcia niezgodności i dodatkowej weryfikacji wynikającej z naruszenia Podmiotu Przetwarzającego ponosi Podmiot Przetwarzający.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12. Zwrot, usunięcie i retencja</w:t>
      </w:r>
    </w:p>
    <w:p>
      <w:pPr>
        <w:spacing w:after="80" w:line="300" w:lineRule="auto"/>
        <w:ind w:left="540" w:hanging="271"/>
        <w:jc w:val="left"/>
        <w:numPr>
          <w:ilvl w:val="0"/>
          <w:numId w:val="2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 zakończeniu Administrator wybiera zwrot albo usunięcie danych, o ile prawo nie wymaga przechowania.</w:t>
      </w:r>
    </w:p>
    <w:p>
      <w:pPr>
        <w:spacing w:after="80" w:line="300" w:lineRule="auto"/>
        <w:ind w:left="540" w:hanging="271"/>
        <w:jc w:val="left"/>
        <w:numPr>
          <w:ilvl w:val="0"/>
          <w:numId w:val="2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Dane robocze są zwracane/usuwane w terminie </w:t>
      </w:r>
      <w:r>
        <w:rPr>
          <w:rFonts w:ascii="Calibri" w:hAnsi="Calibri" w:eastAsia="Calibri"/>
          <w:b/>
          <w:color w:val="1B2430"/>
          <w:sz w:val="22"/>
        </w:rPr>
        <w:t>[14] dni</w:t>
      </w:r>
      <w:r>
        <w:rPr>
          <w:rFonts w:ascii="Calibri" w:hAnsi="Calibri" w:eastAsia="Calibri"/>
          <w:b w:val="0"/>
          <w:color w:val="1B2430"/>
          <w:sz w:val="22"/>
        </w:rPr>
        <w:t>, a dostęp jest odbierany niezwłocznie.</w:t>
      </w:r>
    </w:p>
    <w:p>
      <w:pPr>
        <w:spacing w:after="80" w:line="300" w:lineRule="auto"/>
        <w:ind w:left="540" w:hanging="271"/>
        <w:jc w:val="left"/>
        <w:numPr>
          <w:ilvl w:val="0"/>
          <w:numId w:val="2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Kopie bezpieczeństwa są nadpisywane w zwykłym cyklu nie dłuższym niż </w:t>
      </w:r>
      <w:r>
        <w:rPr>
          <w:rFonts w:ascii="Calibri" w:hAnsi="Calibri" w:eastAsia="Calibri"/>
          <w:b/>
          <w:color w:val="1B2430"/>
          <w:sz w:val="22"/>
        </w:rPr>
        <w:t>[90] dni</w:t>
      </w:r>
      <w:r>
        <w:rPr>
          <w:rFonts w:ascii="Calibri" w:hAnsi="Calibri" w:eastAsia="Calibri"/>
          <w:b w:val="0"/>
          <w:color w:val="1B2430"/>
          <w:sz w:val="22"/>
        </w:rPr>
        <w:t xml:space="preserve"> i do tego czasu pozostają chronione oraz nieużywane do innych celów.</w:t>
      </w:r>
    </w:p>
    <w:p>
      <w:pPr>
        <w:spacing w:after="80" w:line="300" w:lineRule="auto"/>
        <w:ind w:left="540" w:hanging="271"/>
        <w:jc w:val="left"/>
        <w:numPr>
          <w:ilvl w:val="0"/>
          <w:numId w:val="2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może zachować minimum danych potrzebne do obrony roszczeń lub obowiązków prawnych jako odrębny administrator, informując o podstawie i retencji.</w:t>
      </w:r>
    </w:p>
    <w:p>
      <w:pPr>
        <w:spacing w:after="80" w:line="300" w:lineRule="auto"/>
        <w:ind w:left="540" w:hanging="271"/>
        <w:jc w:val="left"/>
        <w:numPr>
          <w:ilvl w:val="0"/>
          <w:numId w:val="2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Na żądanie potwierdza zakończenie i wskazuje wyjątki.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13. Odpowiedzialność</w:t>
      </w:r>
    </w:p>
    <w:p>
      <w:pPr>
        <w:spacing w:after="80" w:line="300" w:lineRule="auto"/>
        <w:ind w:left="540" w:hanging="271"/>
        <w:jc w:val="left"/>
        <w:numPr>
          <w:ilvl w:val="0"/>
          <w:numId w:val="2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Odpowiedzialność Stron wynika z RODO, prawa krajowego i Umowy Głównej.</w:t>
      </w:r>
    </w:p>
    <w:p>
      <w:pPr>
        <w:spacing w:after="80" w:line="300" w:lineRule="auto"/>
        <w:ind w:left="540" w:hanging="271"/>
        <w:jc w:val="left"/>
        <w:numPr>
          <w:ilvl w:val="0"/>
          <w:numId w:val="2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Ograniczenia odpowiedzialności z Umowy Głównej stosuje się w zakresie dopuszczalnym prawem i nie ograniczają praw osób ani kompetencji organu.</w:t>
      </w:r>
    </w:p>
    <w:p>
      <w:pPr>
        <w:spacing w:after="80" w:line="300" w:lineRule="auto"/>
        <w:ind w:left="540" w:hanging="271"/>
        <w:jc w:val="left"/>
        <w:numPr>
          <w:ilvl w:val="0"/>
          <w:numId w:val="2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Podmiot Przetwarzający ponosi koszty działań naprawczych w zakresie, w jakim incydent wynika z jego zawinionego naruszenia.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14. Czas i zakończenie</w:t>
      </w:r>
    </w:p>
    <w:p>
      <w:pPr>
        <w:spacing w:after="80" w:line="300" w:lineRule="auto"/>
        <w:ind w:left="540" w:hanging="271"/>
        <w:jc w:val="left"/>
        <w:numPr>
          <w:ilvl w:val="0"/>
          <w:numId w:val="2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Umowa obowiązuje przez okres powierzonego przetwarzania.</w:t>
      </w:r>
    </w:p>
    <w:p>
      <w:pPr>
        <w:spacing w:after="80" w:line="300" w:lineRule="auto"/>
        <w:ind w:left="540" w:hanging="271"/>
        <w:jc w:val="left"/>
        <w:numPr>
          <w:ilvl w:val="0"/>
          <w:numId w:val="2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Istotne naruszenie uprawnia Administratora do wstrzymania przekazywania danych, żądania naprawy i rozwiązania zakresu, którego nie można bezpiecznie kontynuować.</w:t>
      </w:r>
    </w:p>
    <w:p>
      <w:pPr>
        <w:spacing w:after="80" w:line="300" w:lineRule="auto"/>
        <w:ind w:left="540" w:hanging="271"/>
        <w:jc w:val="left"/>
        <w:numPr>
          <w:ilvl w:val="0"/>
          <w:numId w:val="2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Poufność, audyt incydentu, odpowiedzialność i retencja obowiązują także po zakończeniu w zakresie koniecznym.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15. Postanowienia końcowe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Do Umowy stosuje się prawo polskie i RODO.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Zmiany wymagają formy dokumentowej, z wyjątkiem przypadków wymagających formy szczególnej.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Spory podlegają zasadom Umowy Głównej.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Podpisy</w:t>
      </w:r>
    </w:p>
    <w:p>
      <w:r>
        <w:rPr>
          <w:rFonts w:ascii="Calibri" w:hAnsi="Calibri" w:eastAsia="Calibri"/>
          <w:b/>
          <w:color w:val="1B2430"/>
          <w:sz w:val="22"/>
        </w:rPr>
        <w:t>ADMINISTRATOR / KLIENT</w:t>
      </w:r>
      <w:r>
        <w:rPr>
          <w:rFonts w:ascii="Calibri" w:hAnsi="Calibri" w:eastAsia="Calibri"/>
          <w:b w:val="0"/>
          <w:color w:val="1B2430"/>
          <w:sz w:val="22"/>
        </w:rPr>
        <w:t xml:space="preserve"> Imię i nazwisko: ____________________________ Data i podpis: ______________________________</w:t>
      </w:r>
    </w:p>
    <w:p>
      <w:r>
        <w:rPr>
          <w:rFonts w:ascii="Calibri" w:hAnsi="Calibri" w:eastAsia="Calibri"/>
          <w:b/>
          <w:color w:val="1B2430"/>
          <w:sz w:val="22"/>
        </w:rPr>
        <w:t>PODMIOT PRZETWARZAJĄCY / ARSIMO sp. z o.o.</w:t>
      </w:r>
      <w:r>
        <w:rPr>
          <w:rFonts w:ascii="Calibri" w:hAnsi="Calibri" w:eastAsia="Calibri"/>
          <w:b w:val="0"/>
          <w:color w:val="1B2430"/>
          <w:sz w:val="22"/>
        </w:rPr>
        <w:t xml:space="preserve"> Imię i nazwisko: Kasandra Nikola Kamińska-Tatara Funkcja: Prezes Zarządu Data i podpis: ______________________________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Załącznik A - Opis przetwarzania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4"/>
        <w:gridCol w:w="6456"/>
      </w:tblGrid>
      <w:tr>
        <w:trPr>
          <w:tblHeader w:val="true"/>
        </w:trP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Pole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Uzupełnienie</w:t>
            </w:r>
          </w:p>
        </w:tc>
      </w:tr>
      <w:t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Przedmiot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[np. obsługa zgłoszeń, przygotowanie dokumentów, utrzymanie formularza]</w:t>
            </w:r>
          </w:p>
        </w:tc>
      </w:tr>
      <w:t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Czas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[okres]</w:t>
            </w:r>
          </w:p>
        </w:tc>
      </w:tr>
      <w:t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Charakter operacji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[zbieranie, przeglądanie, porządkowanie, zapisywanie, udostępnianie według polecenia, usuwanie]</w:t>
            </w:r>
          </w:p>
        </w:tc>
      </w:tr>
      <w:t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Cel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[konkretny cel Zlecenia]</w:t>
            </w:r>
          </w:p>
        </w:tc>
      </w:tr>
      <w:t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Kategorie osób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[klienci, pracownicy, kandydaci, dostawcy, użytkownicy strony, osoby kontaktowe]</w:t>
            </w:r>
          </w:p>
        </w:tc>
      </w:tr>
      <w:t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Kategorie danych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[identyfikacyjne, kontaktowe, zatrudnienie, rozliczeniowe, korespondencja, dostęp techniczny]</w:t>
            </w:r>
          </w:p>
        </w:tc>
      </w:tr>
      <w:t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Dane szczególne / karne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[nie / tak - jakie i dlaczego]</w:t>
            </w:r>
          </w:p>
        </w:tc>
      </w:tr>
      <w:t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Systemy i lokalizacje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[lista]</w:t>
            </w:r>
          </w:p>
        </w:tc>
      </w:tr>
      <w:t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Osoby uprawnione do poleceń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[lista]</w:t>
            </w:r>
          </w:p>
        </w:tc>
      </w:tr>
      <w:tr>
        <w:tc>
          <w:tcPr>
            <w:tcW w:type="dxa" w:w="2904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Retencja</w:t>
            </w:r>
          </w:p>
        </w:tc>
        <w:tc>
          <w:tcPr>
            <w:tcW w:type="dxa" w:w="6456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[okres i podstawa]</w:t>
            </w:r>
          </w:p>
        </w:tc>
      </w:tr>
    </w:tbl>
    <w:p>
      <w:pPr>
        <w:spacing w:before="0" w:after="40"/>
      </w:pP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Załącznik B - Środki bezpieczeństwa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Tożsamość i dostęp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indywidualne konta;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MFA dla administratorów i systemów kluczowych;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role i zasada najmniejszych uprawnień;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kwartalny przegląd dostępów lub częściej przy zmianie zespołu;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natychmiastowe odebranie dostępu po zakończeniu.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Urządzenia i transmisja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blokada urządzenia i szyfrowanie dysku, gdzie dostępne;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aktualizacje systemu i aplikacji;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ochrona antymalware odpowiednia do ryzyka;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TLS dla transmisji;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zakaz przechowywania na prywatnych nośnikach bez zgody.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Hasła i tajemnice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menedżer haseł;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brak haseł w zwykłym e-mailu i w treści Zlecenia;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odrębne konta zamiast wspólnych loginów;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rotacja po incydencie i odebraniu dostępu.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Pliki, kopie i ciągłość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oddzielne katalogi klientów;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kopie według krytyczności;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test odtworzenia;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kontrola eksportów i udostępnień;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rejestr zmian wysokiego ryzyka.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Organizacja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NDA/upoważnienia personelu;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szkolenie i procedura incydentu;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checklista rozpoczęcia i zakończenia klienta;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ocena podprocesorów;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polityka AI i Tryb Sejf;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zasada dwóch osób przy czynnościach wysokiego ryzyka, gdy jest możliwa.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Załącznik C - Podprocesorzy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1878"/>
        <w:gridCol w:w="1601"/>
        <w:gridCol w:w="1690"/>
        <w:gridCol w:w="1423"/>
        <w:gridCol w:w="1868"/>
      </w:tblGrid>
      <w:tr>
        <w:trPr>
          <w:tblHeader w:val="true"/>
        </w:trPr>
        <w:tc>
          <w:tcPr>
            <w:tcW w:type="dxa" w:w="90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Podmiot</w:t>
            </w:r>
          </w:p>
        </w:tc>
        <w:tc>
          <w:tcPr>
            <w:tcW w:type="dxa" w:w="1878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Usługa</w:t>
            </w:r>
          </w:p>
        </w:tc>
        <w:tc>
          <w:tcPr>
            <w:tcW w:type="dxa" w:w="1601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Lokalizacja danych</w:t>
            </w:r>
          </w:p>
        </w:tc>
        <w:tc>
          <w:tcPr>
            <w:tcW w:type="dxa" w:w="169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Mechanizm transferu</w:t>
            </w:r>
          </w:p>
        </w:tc>
        <w:tc>
          <w:tcPr>
            <w:tcW w:type="dxa" w:w="1423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Kategorie danych</w:t>
            </w:r>
          </w:p>
        </w:tc>
        <w:tc>
          <w:tcPr>
            <w:tcW w:type="dxa" w:w="1868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Data zgody/informacji</w:t>
            </w:r>
          </w:p>
        </w:tc>
      </w:tr>
      <w:tr>
        <w:tc>
          <w:tcPr>
            <w:tcW w:type="dxa" w:w="90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[dostawca]</w:t>
            </w:r>
          </w:p>
        </w:tc>
        <w:tc>
          <w:tcPr>
            <w:tcW w:type="dxa" w:w="1878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[hosting/poczta/panel/backup]</w:t>
            </w:r>
          </w:p>
        </w:tc>
        <w:tc>
          <w:tcPr>
            <w:tcW w:type="dxa" w:w="1601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[EOG/inne]</w:t>
            </w:r>
          </w:p>
        </w:tc>
        <w:tc>
          <w:tcPr>
            <w:tcW w:type="dxa" w:w="169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[nie dotyczy/SCC/inny]</w:t>
            </w:r>
          </w:p>
        </w:tc>
        <w:tc>
          <w:tcPr>
            <w:tcW w:type="dxa" w:w="1423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[zakres]</w:t>
            </w:r>
          </w:p>
        </w:tc>
        <w:tc>
          <w:tcPr>
            <w:tcW w:type="dxa" w:w="1868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[data]</w:t>
            </w:r>
          </w:p>
        </w:tc>
      </w:tr>
    </w:tbl>
    <w:p>
      <w:pPr>
        <w:spacing w:before="0" w:after="40"/>
      </w:pP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Nota:</w:t>
      </w:r>
      <w:r>
        <w:rPr>
          <w:rFonts w:ascii="Calibri" w:hAnsi="Calibri" w:eastAsia="Calibri"/>
          <w:b w:val="0"/>
          <w:color w:val="1B2430"/>
          <w:sz w:val="22"/>
        </w:rPr>
        <w:t xml:space="preserve"> Przed podpisaniem należy uzupełnić rzeczywistą listę dostawców, lokalizacje danych, transfery, cykle kopii i kontakt incydentowy. Nie wolno pozostawić Załącznika C jako pustej deklaracji, jeżeli produkcyjnie używane są podprocesory.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F6B7A"/>
        <w:sz w:val="17"/>
      </w:rPr>
      <w:t xml:space="preserve">31.07.2026  |  strona </w:t>
    </w:r>
    <w:r>
      <w:rPr>
        <w:rFonts w:ascii="Calibri" w:hAnsi="Calibri" w:eastAsia="Calibri"/>
        <w:color w:val="5F6B7A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color w:val="5F6B7A"/>
        <w:sz w:val="17"/>
      </w:rPr>
      <w:t>ALDERHALL  |  DOKUMENT ROBOCZY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abstractNum w:abstractNumId="1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Arial" w:hAnsi="Arial"/>
      </w:rPr>
    </w:lvl>
  </w:abstract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0"/>
  </w:num>
  <w:num w:numId="16">
    <w:abstractNumId w:val="9"/>
    <w:lvlOverride w:ilvl="0">
      <w:startOverride w:val="3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10"/>
  </w:num>
  <w:num w:numId="21">
    <w:abstractNumId w:val="9"/>
    <w:lvlOverride w:ilvl="0">
      <w:startOverride w:val="1"/>
    </w:lvlOverride>
  </w:num>
  <w:num w:numId="22">
    <w:abstractNumId w:val="10"/>
  </w:num>
  <w:num w:numId="23">
    <w:abstractNumId w:val="9"/>
    <w:lvlOverride w:ilvl="0">
      <w:startOverride w:val="3"/>
    </w:lvlOverride>
  </w:num>
  <w:num w:numId="24">
    <w:abstractNumId w:val="9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  <w:jc w:val="left"/>
    </w:pPr>
    <w:rPr>
      <w:rFonts w:ascii="Calibri" w:hAnsi="Calibri"/>
      <w:color w:val="1B24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 w:line="252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F5BF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 w:line="252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F5B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B3E9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B243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B2430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05_powierzenie_rodo</dc:title>
  <dc:subject>ALDERHALL - dokument roboczy</dc:subject>
  <dc:creator/>
  <cp:keywords>ALDERHALL, Arsimo, biuro operacyjne</cp:keywords>
  <dc:description>Wersja robocza do przeglądu przed użyciem produkcyjnym.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