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 w:eastAsia="Calibri"/>
          <w:b/>
          <w:color w:val="FF7A59"/>
          <w:sz w:val="19"/>
        </w:rPr>
        <w:t>ALDERHALL  /  WZÓR ROBOCZY</w:t>
      </w:r>
    </w:p>
    <w:p>
      <w:pPr>
        <w:spacing w:after="80"/>
      </w:pPr>
      <w:r>
        <w:rPr>
          <w:rFonts w:ascii="Calibri" w:hAnsi="Calibri" w:eastAsia="Calibri"/>
          <w:b/>
          <w:color w:val="1B2430"/>
          <w:sz w:val="48"/>
        </w:rPr>
        <w:t>SLA, Firmowy SOR i Standard Gwarancji - wzór załącznika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Wersja:</w:t>
      </w:r>
      <w:r>
        <w:rPr>
          <w:rFonts w:ascii="Calibri" w:hAnsi="Calibri" w:eastAsia="Calibri"/>
          <w:b w:val="0"/>
          <w:color w:val="5F6B7A"/>
          <w:sz w:val="19"/>
        </w:rPr>
        <w:t xml:space="preserve"> 0.9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Data:</w:t>
      </w:r>
      <w:r>
        <w:rPr>
          <w:rFonts w:ascii="Calibri" w:hAnsi="Calibri" w:eastAsia="Calibri"/>
          <w:b w:val="0"/>
          <w:color w:val="5F6B7A"/>
          <w:sz w:val="19"/>
        </w:rPr>
        <w:t xml:space="preserve"> 31 lipca 2026 r.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Status:</w:t>
      </w:r>
      <w:r>
        <w:rPr>
          <w:rFonts w:ascii="Calibri" w:hAnsi="Calibri" w:eastAsia="Calibri"/>
          <w:b w:val="0"/>
          <w:color w:val="5F6B7A"/>
          <w:sz w:val="19"/>
        </w:rPr>
        <w:t xml:space="preserve"> do testu operacyjnego i przeglądu prawnego</w:t>
      </w:r>
    </w:p>
    <w:p>
      <w:pPr>
        <w:spacing w:before="200" w:after="160"/>
        <w:pBdr>
          <w:left w:val="single" w:sz="16" w:space="8" w:color="2F5BFF"/>
        </w:pBdr>
        <w:shd w:fill="F1F5FF"/>
      </w:pPr>
      <w:r>
        <w:rPr>
          <w:rFonts w:ascii="Calibri" w:hAnsi="Calibri" w:eastAsia="Calibri"/>
          <w:b/>
          <w:color w:val="1B2430"/>
          <w:sz w:val="20"/>
        </w:rPr>
        <w:t>Dokument wymaga uzupełnienia pól i końcowego przeglądu przed użyciem produkcyjnym.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Dokument określa czas reakcji, sposób kwalifikacji pilnych spraw, kredyty serwisowe i gwarancje procesu. Nie jest obietnicą wyniku decyzji urzędu, sądu, kontrahenta ani zewnętrznego systemu.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1. Godziny i kanały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/>
          <w:color w:val="1B2430"/>
          <w:sz w:val="22"/>
        </w:rPr>
        <w:t>Godziny Serwisowe:</w:t>
      </w:r>
      <w:r>
        <w:rPr>
          <w:rFonts w:ascii="Calibri" w:hAnsi="Calibri" w:eastAsia="Calibri"/>
          <w:b w:val="0"/>
          <w:color w:val="1B2430"/>
          <w:sz w:val="22"/>
        </w:rPr>
        <w:t xml:space="preserve"> poniedziałek-piątek, 8:00-18:00 czasu polskiego, z wyłączeniem dni ustawowo wolnych od pracy.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Zwykłe zgłoszenia: Panel lub </w:t>
      </w:r>
      <w:r>
        <w:rPr>
          <w:rFonts w:ascii="Calibri" w:hAnsi="Calibri" w:eastAsia="Calibri"/>
          <w:b/>
          <w:color w:val="1B2430"/>
          <w:sz w:val="22"/>
        </w:rPr>
        <w:t>[sprawy@alderhall.pl]</w:t>
      </w:r>
      <w:r>
        <w:rPr>
          <w:rFonts w:ascii="Calibri" w:hAnsi="Calibri" w:eastAsia="Calibri"/>
          <w:b w:val="0"/>
          <w:color w:val="1B2430"/>
          <w:sz w:val="22"/>
        </w:rPr>
        <w:t>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P1/P2: formularz awaryjny oraz telefon </w:t>
      </w:r>
      <w:r>
        <w:rPr>
          <w:rFonts w:ascii="Calibri" w:hAnsi="Calibri" w:eastAsia="Calibri"/>
          <w:b/>
          <w:color w:val="1B2430"/>
          <w:sz w:val="22"/>
        </w:rPr>
        <w:t>[numer]</w:t>
      </w:r>
      <w:r>
        <w:rPr>
          <w:rFonts w:ascii="Calibri" w:hAnsi="Calibri" w:eastAsia="Calibri"/>
          <w:b w:val="0"/>
          <w:color w:val="1B2430"/>
          <w:sz w:val="22"/>
        </w:rPr>
        <w:t>. Sam e-mail bez telefonu może nie uruchomić priorytetu P1.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Poza Godzinami Serwisowymi pomoc odbywa się w trybie best effort albo na podstawie odrębnej umowy dyżuru. Czas SLA zaczyna biec na początku najbliższych Godzin Serwisowych, chyba że ALDERHALL wyraźnie potwierdził interwencję wcześniej.</w:t>
      </w:r>
    </w:p>
    <w:p>
      <w:pPr>
        <w:spacing w:after="80" w:line="300" w:lineRule="auto"/>
        <w:ind w:left="540" w:hanging="271"/>
        <w:jc w:val="left"/>
        <w:numPr>
          <w:ilvl w:val="0"/>
          <w:numId w:val="1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Automatyczne potwierdzenie przyjęcia nie jest reakcją merytoryczną. SLA mierzy pierwszą odpowiedź człowieka zawierającą kwalifikację albo prośbę o niezbędne dane.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2. Priorytety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P1 - Krytyczna</w:t>
      </w:r>
    </w:p>
    <w:p>
      <w:r>
        <w:rPr>
          <w:rFonts w:ascii="Calibri" w:hAnsi="Calibri" w:eastAsia="Calibri"/>
          <w:b w:val="0"/>
          <w:color w:val="1B2430"/>
          <w:sz w:val="22"/>
        </w:rPr>
        <w:t>Sprawa powoduje lub bezpośrednio grozi zatrzymaniem podstawowego kanału sprzedaży/komunikacji, utratą danych lub dostępu, nieodwracalnym terminem w tym samym dniu albo istotną natychmiastową szkodą.</w:t>
      </w:r>
    </w:p>
    <w:p>
      <w:r>
        <w:rPr>
          <w:rFonts w:ascii="Calibri" w:hAnsi="Calibri" w:eastAsia="Calibri"/>
          <w:b w:val="0"/>
          <w:color w:val="1B2430"/>
          <w:sz w:val="22"/>
        </w:rPr>
        <w:t>Przykłady: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firmowa poczta lub formularz sprzedażowy nie działa dla wszystkich użytkowników;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utrata kontroli nad domeną, kontem administratora lub kluczowym profilem;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podejrzenie przejęcia konta albo wycieku danych;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termin urzędowy lub kontraktowy upływa w ciągu kilku godzin i istnieje bezpieczna czynność zabezpieczająca;</w:t>
      </w:r>
    </w:p>
    <w:p>
      <w:pPr>
        <w:spacing w:after="80" w:line="300" w:lineRule="auto"/>
        <w:ind w:left="540" w:hanging="271"/>
        <w:jc w:val="left"/>
        <w:numPr>
          <w:ilvl w:val="0"/>
          <w:numId w:val="1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publikacja lub komunikat powodujący szybko rosnącą szkodę reputacyjną.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P2 - Pilna</w:t>
      </w:r>
    </w:p>
    <w:p>
      <w:r>
        <w:rPr>
          <w:rFonts w:ascii="Calibri" w:hAnsi="Calibri" w:eastAsia="Calibri"/>
          <w:b w:val="0"/>
          <w:color w:val="1B2430"/>
          <w:sz w:val="22"/>
        </w:rPr>
        <w:t>Sprawa ma termin do końca następnego dnia roboczego albo istotnie blokuje jedną funkcję, ale istnieje obejście i nie grozi natychmiastową nieodwracalną szkodą.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P3 - Standardowa</w:t>
      </w:r>
    </w:p>
    <w:p>
      <w:r>
        <w:rPr>
          <w:rFonts w:ascii="Calibri" w:hAnsi="Calibri" w:eastAsia="Calibri"/>
          <w:b w:val="0"/>
          <w:color w:val="1B2430"/>
          <w:sz w:val="22"/>
        </w:rPr>
        <w:t>Zwykłe pismo, oferta, reklamacja, formalność, konfiguracja lub decyzja z terminem pozwalającym na normalne zaplanowanie pracy.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P4 - Planowana</w:t>
      </w:r>
    </w:p>
    <w:p>
      <w:r>
        <w:rPr>
          <w:rFonts w:ascii="Calibri" w:hAnsi="Calibri" w:eastAsia="Calibri"/>
          <w:b w:val="0"/>
          <w:color w:val="1B2430"/>
          <w:sz w:val="22"/>
        </w:rPr>
        <w:t>Usprawnienie, materiał, projekt lub zadanie bez bliskiego terminu i bez bieżącej szkody.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3. Kto nadaje priorytet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proponuje priorytet i podaje fakt uzasadniający.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potwierdza albo koryguje priorytet po triage'u.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Samo określenie „pilne” nie tworzy P1. Liczą się skutek, termin i możliwość ograniczenia szkody.</w:t>
      </w:r>
    </w:p>
    <w:p>
      <w:pPr>
        <w:spacing w:after="80" w:line="300" w:lineRule="auto"/>
        <w:ind w:left="540" w:hanging="271"/>
        <w:jc w:val="left"/>
        <w:numPr>
          <w:ilvl w:val="0"/>
          <w:numId w:val="1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po kwalifikacji okaże się, że Klient celowo podał nieprawdziwy skutek lub termin, ALDERHALL może rozliczyć dodatkową przepustowość albo ograniczyć dostęp do kanału P1 po uprzednim ostrzeżeniu.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4. Czasy reakcji w Godzinach Serwisowych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80"/>
        <w:gridCol w:w="1620"/>
        <w:gridCol w:w="1620"/>
        <w:gridCol w:w="1620"/>
        <w:gridCol w:w="1620"/>
      </w:tblGrid>
      <w:tr>
        <w:trPr>
          <w:tblHeader w:val="true"/>
        </w:trP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Pakiet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P1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P2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P3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P4</w:t>
            </w:r>
          </w:p>
        </w:tc>
      </w:tr>
      <w:t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Bez abonamentu / Pierwsza Sprawa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best effort, cel 4 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1 dnia roboczego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2 dni roboczych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3 dni roboczych</w:t>
            </w:r>
          </w:p>
        </w:tc>
      </w:tr>
      <w:t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Dostęp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120 min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4 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następnego dnia roboczego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2 dni roboczych</w:t>
            </w:r>
          </w:p>
        </w:tc>
      </w:tr>
      <w:t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Opieka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60 min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2 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1 dnia roboczego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2 dni roboczych</w:t>
            </w:r>
          </w:p>
        </w:tc>
      </w:tr>
      <w:t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Biuro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30 min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2 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8 h roboczych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1 dnia roboczego</w:t>
            </w:r>
          </w:p>
        </w:tc>
      </w:tr>
      <w:t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Partner operacyjny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30 min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60 min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4 h roboczych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do 1 dnia roboczego</w:t>
            </w:r>
          </w:p>
        </w:tc>
      </w:tr>
      <w:tr>
        <w:tc>
          <w:tcPr>
            <w:tcW w:type="dxa" w:w="288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Fractional COO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według Karty Pakietu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według Karty Pakietu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według Karty Pakietu</w:t>
            </w:r>
          </w:p>
        </w:tc>
        <w:tc>
          <w:tcPr>
            <w:tcW w:type="dxa" w:w="1620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według Karty Pakietu</w:t>
            </w:r>
          </w:p>
        </w:tc>
      </w:tr>
    </w:tbl>
    <w:p>
      <w:pPr>
        <w:spacing w:before="0" w:after="40"/>
      </w:pP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5. Co zawiera reakcja</w:t>
      </w:r>
    </w:p>
    <w:p>
      <w:r>
        <w:rPr>
          <w:rFonts w:ascii="Calibri" w:hAnsi="Calibri" w:eastAsia="Calibri"/>
          <w:b w:val="0"/>
          <w:color w:val="1B2430"/>
          <w:sz w:val="22"/>
        </w:rPr>
        <w:t>Pierwsza reakcja merytoryczna zawiera możliwie: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potwierdzenie zrozumienia skutku i terminu;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priorytet;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listę krytycznych braków;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pierwszą bezpieczną czynność;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informację, czy potrzebny jest specjalista;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czas przedstawienia zakresu i wyceny;</w:t>
      </w:r>
    </w:p>
    <w:p>
      <w:pPr>
        <w:spacing w:after="80" w:line="300" w:lineRule="auto"/>
        <w:ind w:left="540" w:hanging="271"/>
        <w:jc w:val="left"/>
        <w:numPr>
          <w:ilvl w:val="0"/>
          <w:numId w:val="1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nazwisko osoby prowadzącej.</w:t>
      </w:r>
    </w:p>
    <w:p>
      <w:r>
        <w:rPr>
          <w:rFonts w:ascii="Calibri" w:hAnsi="Calibri" w:eastAsia="Calibri"/>
          <w:b w:val="0"/>
          <w:color w:val="1B2430"/>
          <w:sz w:val="22"/>
        </w:rPr>
        <w:t>SLA reakcji nie oznacza terminu pełnego wykonania. Termin wykonania powstaje po otrzymaniu materiałów i zaakceptowaniu Zlecenia.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6. Zatrzymanie zegara SLA</w:t>
      </w:r>
    </w:p>
    <w:p>
      <w:r>
        <w:rPr>
          <w:rFonts w:ascii="Calibri" w:hAnsi="Calibri" w:eastAsia="Calibri"/>
          <w:b w:val="0"/>
          <w:color w:val="1B2430"/>
          <w:sz w:val="22"/>
        </w:rPr>
        <w:t>Czas nie biegnie, gdy: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czeka na materiał, dostęp, decyzję albo upoważnienie Klienta;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podał niewłaściwy kanał lub brak telefonu uniemożliwia potwierdzenie P1;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występuje awaria zewnętrznego dostawcy, a ALDERHALL wykonał możliwe czynności obejścia i informacyjne;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czynność wymaga udziału organu, banku, rejestratora, prawnika lub innego podmiotu trzeciego;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działanie byłoby nielegalne, nieodwracalne albo niebezpieczne bez dodatkowej zgody;</w:t>
      </w:r>
    </w:p>
    <w:p>
      <w:pPr>
        <w:spacing w:after="80" w:line="300" w:lineRule="auto"/>
        <w:ind w:left="540" w:hanging="271"/>
        <w:jc w:val="left"/>
        <w:numPr>
          <w:ilvl w:val="0"/>
          <w:numId w:val="1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występuje siła wyższa.</w:t>
      </w:r>
    </w:p>
    <w:p>
      <w:r>
        <w:rPr>
          <w:rFonts w:ascii="Calibri" w:hAnsi="Calibri" w:eastAsia="Calibri"/>
          <w:b w:val="0"/>
          <w:color w:val="1B2430"/>
          <w:sz w:val="22"/>
        </w:rPr>
        <w:t>Zatrzymanie zegara nie zwalnia ALDERHALL z informowania Klienta o statusie i następnym kroku.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7. Firmowy SOR dla firmy bez umowy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7.1. Zasada marki</w:t>
      </w:r>
    </w:p>
    <w:p>
      <w:r>
        <w:rPr>
          <w:rFonts w:ascii="Calibri" w:hAnsi="Calibri" w:eastAsia="Calibri"/>
          <w:b w:val="0"/>
          <w:color w:val="1B2430"/>
          <w:sz w:val="22"/>
        </w:rPr>
        <w:t>Pierwsza krytyczna sytuacja nie może skończyć się odpowiedzią: „najpierw podpisz długą umowę”. ALDERHALL przeznacza jeden raz dla danego NIP do 30 minut na bezpłatne zabezpieczenie sprawy.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7.2. Zakres bezpłatny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triage i potwierdzenie rzeczywistego terminu;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zabezpieczenie kopii, dowodów, wiadomości lub listy dostępów;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wskazanie czynności, których należy teraz nie wykonywać;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krótki plan najbliższych godzin;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bezpieczna odpowiedź podtrzymująca, jeżeli nie wymaga regulowanej porady;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wskazanie potrzebnego specjalisty;</w:t>
      </w:r>
    </w:p>
    <w:p>
      <w:pPr>
        <w:spacing w:after="80" w:line="300" w:lineRule="auto"/>
        <w:ind w:left="540" w:hanging="271"/>
        <w:jc w:val="left"/>
        <w:numPr>
          <w:ilvl w:val="0"/>
          <w:numId w:val="1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wycena dalszej pracy.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7.3. Minimalna zgoda</w:t>
      </w:r>
    </w:p>
    <w:p>
      <w:r>
        <w:rPr>
          <w:rFonts w:ascii="Calibri" w:hAnsi="Calibri" w:eastAsia="Calibri"/>
          <w:b w:val="0"/>
          <w:color w:val="1B2430"/>
          <w:sz w:val="22"/>
        </w:rPr>
        <w:t>Przed użyciem danych lub wykonaniem czynności Klient potwierdza e-mailem/SMS-em: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„Zlecam ARSIMO sp. z o.o./ALDERHALL interwencję w sprawie [opis] w zakresie [czynności], z limitem kosztu [kwota/bezpłatne 30 minut]. Potwierdzam prawo do przekazanych danych i upoważniam do ich użycia wyłącznie dla tej interwencji. Działania zewnętrzne wymagają mojej odrębnej akceptacji, o ile nie wskazano ich wyraźnie powyżej.”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7.4. Niedozwolone bez pełnej autoryzacji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wysłanie wiążącego oświadczenia w imieniu firmy;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podpisanie dokumentu albo zawarcie umowy;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płatność lub zakup;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usunięcie danych, konta, domeny albo konfiguracji bez kopii i zgody;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przekazanie danych kolejnej osobie;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reprezentacja przed sądem, organem lub w czynności zastrzeżonej;</w:t>
      </w:r>
    </w:p>
    <w:p>
      <w:pPr>
        <w:spacing w:after="80" w:line="300" w:lineRule="auto"/>
        <w:ind w:left="540" w:hanging="271"/>
        <w:jc w:val="left"/>
        <w:numPr>
          <w:ilvl w:val="0"/>
          <w:numId w:val="1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przyznanie odpowiedzialności, długu albo naruszenia.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7.5. Kontynuacja</w:t>
      </w:r>
    </w:p>
    <w:p>
      <w:r>
        <w:rPr>
          <w:rFonts w:ascii="Calibri" w:hAnsi="Calibri" w:eastAsia="Calibri"/>
          <w:b w:val="0"/>
          <w:color w:val="1B2430"/>
          <w:sz w:val="22"/>
        </w:rPr>
        <w:t>Po 30 minutach Klient otrzymuje jedną z trzech informacji: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„Zabezpieczone - dalsza praca nie jest teraz potrzebna”.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„Możemy kontynuować - zakres, cena/punkty i termin są następujące”.</w:t>
      </w:r>
    </w:p>
    <w:p>
      <w:pPr>
        <w:spacing w:after="80" w:line="300" w:lineRule="auto"/>
        <w:ind w:left="540" w:hanging="271"/>
        <w:jc w:val="left"/>
        <w:numPr>
          <w:ilvl w:val="0"/>
          <w:numId w:val="1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„Potrzebny jest specjalista - przekazujemy uporządkowaną teczkę i koordynujemy po akceptacji kosztu”.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8. Dyżur poza godzinami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 starcie nie publikujemy obietnicy 24/7.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Interwencja poza godzinami wymaga potwierdzenia dostępności i może podlegać opłacie minimalnej </w:t>
      </w:r>
      <w:r>
        <w:rPr>
          <w:rFonts w:ascii="Calibri" w:hAnsi="Calibri" w:eastAsia="Calibri"/>
          <w:b/>
          <w:color w:val="1B2430"/>
          <w:sz w:val="22"/>
        </w:rPr>
        <w:t>[590 zł netto]</w:t>
      </w:r>
      <w:r>
        <w:rPr>
          <w:rFonts w:ascii="Calibri" w:hAnsi="Calibri" w:eastAsia="Calibri"/>
          <w:b w:val="0"/>
          <w:color w:val="1B2430"/>
          <w:sz w:val="22"/>
        </w:rPr>
        <w:t xml:space="preserve"> albo mnożnikowi </w:t>
      </w:r>
      <w:r>
        <w:rPr>
          <w:rFonts w:ascii="Calibri" w:hAnsi="Calibri" w:eastAsia="Calibri"/>
          <w:b/>
          <w:color w:val="1B2430"/>
          <w:sz w:val="22"/>
        </w:rPr>
        <w:t>[1,5]</w:t>
      </w:r>
      <w:r>
        <w:rPr>
          <w:rFonts w:ascii="Calibri" w:hAnsi="Calibri" w:eastAsia="Calibri"/>
          <w:b w:val="0"/>
          <w:color w:val="1B2430"/>
          <w:sz w:val="22"/>
        </w:rPr>
        <w:t xml:space="preserve"> punktu/ceny.</w:t>
      </w:r>
    </w:p>
    <w:p>
      <w:pPr>
        <w:spacing w:after="80" w:line="300" w:lineRule="auto"/>
        <w:ind w:left="540" w:hanging="271"/>
        <w:jc w:val="left"/>
        <w:numPr>
          <w:ilvl w:val="0"/>
          <w:numId w:val="1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Dla wybranych klientów można zawrzeć osobny dyżur z numerem, harmonogramem, osobą zastępczą i miesięczną opłatą gotowości.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9. Standard informowania o statusie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P1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aktualizacja co 60 minut w czasie aktywnej interwencji, chyba że Klient zaakceptuje inny rytm;</w:t>
      </w:r>
    </w:p>
    <w:p>
      <w:pPr>
        <w:spacing w:after="80" w:line="300" w:lineRule="auto"/>
        <w:ind w:left="540" w:hanging="271"/>
        <w:jc w:val="left"/>
        <w:numPr>
          <w:ilvl w:val="0"/>
          <w:numId w:val="1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każda aktualizacja: stan, wykonane, ryzyko, następny krok, potrzebna decyzja.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P2</w:t>
      </w:r>
    </w:p>
    <w:p>
      <w:pPr>
        <w:spacing w:after="80" w:line="300" w:lineRule="auto"/>
        <w:ind w:left="540" w:hanging="271"/>
        <w:jc w:val="left"/>
        <w:numPr>
          <w:ilvl w:val="0"/>
          <w:numId w:val="2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aktualizacja po istotnej zmianie i co najmniej raz w dniu roboczym.</w:t>
      </w:r>
    </w:p>
    <w:p>
      <w:pPr>
        <w:pStyle w:val="Heading2"/>
        <w:keepNext w:val="1"/>
      </w:pPr>
      <w:r>
        <w:rPr>
          <w:rFonts w:ascii="Calibri" w:hAnsi="Calibri" w:eastAsia="Calibri"/>
          <w:b/>
          <w:color w:val="2F5BFF"/>
          <w:sz w:val="26"/>
        </w:rPr>
        <w:t>P3/P4</w:t>
      </w:r>
    </w:p>
    <w:p>
      <w:pPr>
        <w:spacing w:after="80" w:line="300" w:lineRule="auto"/>
        <w:ind w:left="540" w:hanging="271"/>
        <w:jc w:val="left"/>
        <w:numPr>
          <w:ilvl w:val="0"/>
          <w:numId w:val="2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aktualizacja przy zmianie statusu, ryzyku terminu albo potrzebie decyzji.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10. Kredyty za naruszenie SLA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Kredyt stosuje się do potwierdzonego naruszenia czasu pierwszej reakcji w aktywnym abonamencie.</w:t>
      </w:r>
    </w:p>
    <w:p>
      <w:pPr>
        <w:spacing w:after="80" w:line="300" w:lineRule="auto"/>
        <w:ind w:left="540" w:hanging="271"/>
        <w:jc w:val="left"/>
        <w:numPr>
          <w:ilvl w:val="0"/>
          <w:numId w:val="2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Kredyt jest przyznawany na kolejną fakturę lub w postaci przywrócenia punktów: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52"/>
        <w:gridCol w:w="6608"/>
      </w:tblGrid>
      <w:tr>
        <w:trPr>
          <w:tblHeader w:val="true"/>
        </w:trPr>
        <w:tc>
          <w:tcPr>
            <w:tcW w:type="dxa" w:w="2752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Naruszenie</w:t>
            </w:r>
          </w:p>
        </w:tc>
        <w:tc>
          <w:tcPr>
            <w:tcW w:type="dxa" w:w="660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2F5BFF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Kredyt</w:t>
            </w:r>
          </w:p>
        </w:tc>
      </w:tr>
      <w:tr>
        <w:tc>
          <w:tcPr>
            <w:tcW w:type="dxa" w:w="2752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P1</w:t>
            </w:r>
          </w:p>
        </w:tc>
        <w:tc>
          <w:tcPr>
            <w:tcW w:type="dxa" w:w="660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10% miesięcznej opłaty pakietu</w:t>
            </w:r>
          </w:p>
        </w:tc>
      </w:tr>
      <w:tr>
        <w:tc>
          <w:tcPr>
            <w:tcW w:type="dxa" w:w="2752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P2</w:t>
            </w:r>
          </w:p>
        </w:tc>
        <w:tc>
          <w:tcPr>
            <w:tcW w:type="dxa" w:w="660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  <w:shd w:fill="F7F8FA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5% miesięcznej opłaty pakietu</w:t>
            </w:r>
          </w:p>
        </w:tc>
      </w:tr>
      <w:tr>
        <w:tc>
          <w:tcPr>
            <w:tcW w:type="dxa" w:w="2752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P3/P4</w:t>
            </w:r>
          </w:p>
        </w:tc>
        <w:tc>
          <w:tcPr>
            <w:tcW w:type="dxa" w:w="6608"/>
            <w:tcMar>
              <w:top w:w="65" w:type="dxa"/>
              <w:start w:w="90" w:type="dxa"/>
              <w:bottom w:w="65" w:type="dxa"/>
              <w:end w:w="9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 w:eastAsia="Calibri"/>
                <w:b w:val="0"/>
                <w:color w:val="1B2430"/>
                <w:sz w:val="17"/>
              </w:rPr>
              <w:t>3% miesięcznej opłaty pakietu</w:t>
            </w:r>
          </w:p>
        </w:tc>
      </w:tr>
    </w:tbl>
    <w:p>
      <w:pPr>
        <w:spacing w:before="0" w:after="40"/>
      </w:pP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Łączny kredyt w jednym miesiącu nie przekracza 30% miesięcznej opłaty.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Kredyt nie ogranicza praw Klienta w zakresie szkody wyrządzonej umyślnie i nie zastępuje odpowiedzialności, której nie można wyłączyć.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Kredyt nie przysługuje, gdy zegar był prawidłowo zatrzymany, zgłoszenie trafiło niewłaściwym kanałem, Klient nie podał skutku/terminu albo zdarzenie nastąpiło poza Godzinami Serwisowymi bez dyżuru.</w:t>
      </w:r>
    </w:p>
    <w:p>
      <w:pPr>
        <w:spacing w:after="80" w:line="300" w:lineRule="auto"/>
        <w:ind w:left="540" w:hanging="271"/>
        <w:jc w:val="left"/>
        <w:numPr>
          <w:ilvl w:val="0"/>
          <w:numId w:val="2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Wniosek o kredyt można złożyć w ciągu 14 dni od naruszenia. ALDERHALL rozpatruje go w 7 dni roboczych.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11. Gwarancja kosztu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nie uruchamia odpłatnego zakresu, dodatkowych punktów ani kosztu zewnętrznego bez akceptacji Klienta.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zakres rośnie, praca zostaje zatrzymana w bezpiecznym miejscu.</w:t>
      </w:r>
    </w:p>
    <w:p>
      <w:pPr>
        <w:spacing w:after="80" w:line="300" w:lineRule="auto"/>
        <w:ind w:left="540" w:hanging="271"/>
        <w:jc w:val="left"/>
        <w:numPr>
          <w:ilvl w:val="0"/>
          <w:numId w:val="24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Koszt poniesiony bez wymaganej akceptacji obciąża ALDERHALL, chyba że był niezbędny do odwrócenia bezpośredniego zagrożenia i Klient wcześniej ustalił limit awaryjny.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12. Gwarancja zgodności z briefem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Klient wskazuje konkretny brak względem zaakceptowanego Rezultatu.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ALDERHALL wykonuje jedną poprawkę bez punktów i bez opłaty.</w:t>
      </w:r>
    </w:p>
    <w:p>
      <w:pPr>
        <w:spacing w:after="80" w:line="300" w:lineRule="auto"/>
        <w:ind w:left="540" w:hanging="271"/>
        <w:jc w:val="left"/>
        <w:numPr>
          <w:ilvl w:val="0"/>
          <w:numId w:val="25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Jeżeli po poprawce Rezultat nadal obiektywnie nie odpowiada briefowi, Klient wybiera: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ponowne wykonanie przez inną osobę;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przywrócenie punktów;</w:t>
      </w:r>
    </w:p>
    <w:p>
      <w:pPr>
        <w:spacing w:after="80" w:line="300" w:lineRule="auto"/>
        <w:ind w:left="540" w:hanging="271"/>
        <w:jc w:val="left"/>
        <w:numPr>
          <w:ilvl w:val="0"/>
          <w:numId w:val="26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zwrot opłaty przypisanej do tego Zlecenia.</w:t>
      </w:r>
    </w:p>
    <w:p>
      <w:pPr>
        <w:spacing w:after="80" w:line="300" w:lineRule="auto"/>
        <w:ind w:left="540" w:hanging="271"/>
        <w:jc w:val="left"/>
        <w:numPr>
          <w:ilvl w:val="0"/>
          <w:numId w:val="27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Gwarancja nie obejmuje zmiany zdania, nowych danych lub nowego celu po akceptacji.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13. Gwarancja domknięcia</w:t>
      </w:r>
    </w:p>
    <w:p>
      <w:r>
        <w:rPr>
          <w:rFonts w:ascii="Calibri" w:hAnsi="Calibri" w:eastAsia="Calibri"/>
          <w:b w:val="0"/>
          <w:color w:val="1B2430"/>
          <w:sz w:val="22"/>
        </w:rPr>
        <w:t>Sprawa może zostać zamknięta dopiero po przekazaniu: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uzgodnionego Rezultatu;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finalnych plików lub informacji o lokalizacji;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krótkiego podsumowania wykonanych czynności;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listy otwartych ryzyk;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następnego kroku i osoby odpowiedzialnej, jeżeli temat trwa poza ALDERHALL;</w:t>
      </w:r>
    </w:p>
    <w:p>
      <w:pPr>
        <w:spacing w:after="80" w:line="300" w:lineRule="auto"/>
        <w:ind w:left="540" w:hanging="271"/>
        <w:jc w:val="left"/>
        <w:numPr>
          <w:ilvl w:val="0"/>
          <w:numId w:val="28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informacji o rozliczonych punktach/koszcie.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14. Gwarancja ciągłości i przekazania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Dla Biura i wyższych pakietów ALDERHALL wyznacza osobę zastępczą albo plan przekazania na wypadek niedostępności prowadzącego.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Historia Sprawy, pliki i decyzje są utrzymywane w miejscu dostępnym zgodnie z uprawnieniami, nie wyłącznie w prywatnej skrzynce jednej osoby.</w:t>
      </w:r>
    </w:p>
    <w:p>
      <w:pPr>
        <w:spacing w:after="80" w:line="300" w:lineRule="auto"/>
        <w:ind w:left="540" w:hanging="271"/>
        <w:jc w:val="left"/>
        <w:numPr>
          <w:ilvl w:val="0"/>
          <w:numId w:val="29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 zakończeniu Klient otrzymuje eksport otwartych Spraw i rejestr dostępów.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15. Gwarancja poufności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Informacje są poufne od pierwszego kontaktu, także bez podpisanej umowy głównej.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Nie są używane w portfolio, szkoleniu, publicznej prezentacji ani marketingu bez pisemnej zgody na konkretną treść.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Ujawnienie następuje wyłącznie, gdy bezwzględnie wymaga tego prawo lub wiążące żądanie uprawnionego organu, i tylko w koniecznym zakresie.</w:t>
      </w:r>
    </w:p>
    <w:p>
      <w:pPr>
        <w:spacing w:after="80" w:line="300" w:lineRule="auto"/>
        <w:ind w:left="540" w:hanging="271"/>
        <w:jc w:val="left"/>
        <w:numPr>
          <w:ilvl w:val="0"/>
          <w:numId w:val="30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NDA może przewidywać karę umowną. Wysokość wymaga przeglądu prawnego i powinna odpowiadać realnemu ryzyku.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16. Gwarancje a brak gwarancji wyniku</w:t>
      </w:r>
    </w:p>
    <w:p>
      <w:r>
        <w:rPr>
          <w:rFonts w:ascii="Calibri" w:hAnsi="Calibri" w:eastAsia="Calibri"/>
          <w:b w:val="0"/>
          <w:color w:val="1B2430"/>
          <w:sz w:val="22"/>
        </w:rPr>
        <w:t>ALDERHALL gwarantuje: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reakcję według SLA;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przejrzysty koszt;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wykonanie względem briefu;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udokumentowane zamknięcie;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standard poufności i dostępu;</w:t>
      </w:r>
    </w:p>
    <w:p>
      <w:pPr>
        <w:spacing w:after="80" w:line="300" w:lineRule="auto"/>
        <w:ind w:left="540" w:hanging="271"/>
        <w:jc w:val="left"/>
        <w:numPr>
          <w:ilvl w:val="0"/>
          <w:numId w:val="31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uczciwe wskazanie granic kompetencji.</w:t>
      </w:r>
    </w:p>
    <w:p>
      <w:r>
        <w:rPr>
          <w:rFonts w:ascii="Calibri" w:hAnsi="Calibri" w:eastAsia="Calibri"/>
          <w:b w:val="0"/>
          <w:color w:val="1B2430"/>
          <w:sz w:val="22"/>
        </w:rPr>
        <w:t>ALDERHALL nie gwarantuje: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decyzji urzędu, sądu, banku lub kontrahenta;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przyznania finansowania, dotacji lub zezwolenia;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wzrostu sprzedaży bez warunków leżących po stronie Klienta;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odzyskania danych bez kopii albo kontroli nad zewnętrznym systemem;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uratowania każdej firmy;</w:t>
      </w:r>
    </w:p>
    <w:p>
      <w:pPr>
        <w:spacing w:after="80" w:line="300" w:lineRule="auto"/>
        <w:ind w:left="540" w:hanging="271"/>
        <w:jc w:val="left"/>
        <w:numPr>
          <w:ilvl w:val="0"/>
          <w:numId w:val="32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terminu zależnego od osoby trzeciej.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17. Reklamacje i przegląd SLA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 xml:space="preserve">Reklamacje: </w:t>
      </w:r>
      <w:r>
        <w:rPr>
          <w:rFonts w:ascii="Calibri" w:hAnsi="Calibri" w:eastAsia="Calibri"/>
          <w:b/>
          <w:color w:val="1B2430"/>
          <w:sz w:val="22"/>
        </w:rPr>
        <w:t>[reklamacje@alderhall.pl]</w:t>
      </w:r>
      <w:r>
        <w:rPr>
          <w:rFonts w:ascii="Calibri" w:hAnsi="Calibri" w:eastAsia="Calibri"/>
          <w:b w:val="0"/>
          <w:color w:val="1B2430"/>
          <w:sz w:val="22"/>
        </w:rPr>
        <w:t xml:space="preserve"> lub Panel.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Potwierdzenie: 1 dzień roboczy. Odpowiedź merytoryczna: 7 dni roboczych.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SLA jest przeglądane po pierwszych 30 Sprawach, po 60 dniach pilotażu, a następnie kwartalnie.</w:t>
      </w:r>
    </w:p>
    <w:p>
      <w:pPr>
        <w:spacing w:after="80" w:line="300" w:lineRule="auto"/>
        <w:ind w:left="540" w:hanging="271"/>
        <w:jc w:val="left"/>
        <w:numPr>
          <w:ilvl w:val="0"/>
          <w:numId w:val="33"/>
        </w:numPr>
        <w:keepLines w:val="1"/>
      </w:pPr>
      <w:r>
        <w:rPr>
          <w:rFonts w:ascii="Calibri" w:hAnsi="Calibri" w:eastAsia="Calibri"/>
          <w:b w:val="0"/>
          <w:color w:val="1B2430"/>
          <w:sz w:val="22"/>
        </w:rPr>
        <w:t>Zmiana SLA nie pogarsza warunków opłaconego okresu i jest komunikowana z 30-dniowym wyprzedzeniem.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18. Akceptacja załącznika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ALDERHALL / ARSIMO sp. z o.o.:</w:t>
      </w:r>
      <w:r>
        <w:rPr>
          <w:rFonts w:ascii="Calibri" w:hAnsi="Calibri" w:eastAsia="Calibri"/>
          <w:b w:val="0"/>
          <w:color w:val="1B2430"/>
          <w:sz w:val="22"/>
        </w:rPr>
        <w:t xml:space="preserve"> ____________________  </w:t>
      </w:r>
      <w:r>
        <w:rPr>
          <w:rFonts w:ascii="Calibri" w:hAnsi="Calibri" w:eastAsia="Calibri"/>
          <w:b/>
          <w:color w:val="1B2430"/>
          <w:sz w:val="22"/>
        </w:rPr>
        <w:t>Data i podpis:</w:t>
      </w:r>
      <w:r>
        <w:rPr>
          <w:rFonts w:ascii="Calibri" w:hAnsi="Calibri" w:eastAsia="Calibri"/>
          <w:b w:val="0"/>
          <w:color w:val="1B2430"/>
          <w:sz w:val="22"/>
        </w:rPr>
        <w:t xml:space="preserve"> ____________________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KLIENT:</w:t>
      </w:r>
      <w:r>
        <w:rPr>
          <w:rFonts w:ascii="Calibri" w:hAnsi="Calibri" w:eastAsia="Calibri"/>
          <w:b w:val="0"/>
          <w:color w:val="1B2430"/>
          <w:sz w:val="22"/>
        </w:rPr>
        <w:t xml:space="preserve"> _________________________________  </w:t>
      </w:r>
      <w:r>
        <w:rPr>
          <w:rFonts w:ascii="Calibri" w:hAnsi="Calibri" w:eastAsia="Calibri"/>
          <w:b/>
          <w:color w:val="1B2430"/>
          <w:sz w:val="22"/>
        </w:rPr>
        <w:t>Data i podpis:</w:t>
      </w:r>
      <w:r>
        <w:rPr>
          <w:rFonts w:ascii="Calibri" w:hAnsi="Calibri" w:eastAsia="Calibri"/>
          <w:b w:val="0"/>
          <w:color w:val="1B2430"/>
          <w:sz w:val="22"/>
        </w:rPr>
        <w:t xml:space="preserve"> ____________________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F6B7A"/>
        <w:sz w:val="17"/>
      </w:rPr>
      <w:t xml:space="preserve">31.07.2026  |  strona </w:t>
    </w:r>
    <w:r>
      <w:rPr>
        <w:rFonts w:ascii="Calibri" w:hAnsi="Calibri" w:eastAsia="Calibri"/>
        <w:color w:val="5F6B7A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5F6B7A"/>
        <w:sz w:val="17"/>
      </w:rPr>
      <w:t>ALDERHALL  |  DOKUMENT ROBOCZY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Arial" w:hAnsi="Arial"/>
      </w:rPr>
    </w:lvl>
  </w:abstractNum>
  <w:num w:numId="10">
    <w:abstractNumId w:val="9"/>
    <w:lvlOverride w:ilvl="0">
      <w:startOverride w:val="1"/>
    </w:lvlOverride>
  </w:num>
  <w:num w:numId="11">
    <w:abstractNumId w:val="10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0"/>
  </w:num>
  <w:num w:numId="15">
    <w:abstractNumId w:val="10"/>
  </w:num>
  <w:num w:numId="16">
    <w:abstractNumId w:val="10"/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0"/>
  </w:num>
  <w:num w:numId="20">
    <w:abstractNumId w:val="10"/>
  </w:num>
  <w:num w:numId="21">
    <w:abstractNumId w:val="10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3"/>
    </w:lvlOverride>
  </w:num>
  <w:num w:numId="24">
    <w:abstractNumId w:val="9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0"/>
  </w:num>
  <w:num w:numId="27">
    <w:abstractNumId w:val="9"/>
    <w:lvlOverride w:ilvl="0">
      <w:startOverride w:val="4"/>
    </w:lvlOverride>
  </w:num>
  <w:num w:numId="28">
    <w:abstractNumId w:val="10"/>
  </w:num>
  <w:num w:numId="29">
    <w:abstractNumId w:val="9"/>
    <w:lvlOverride w:ilvl="0">
      <w:startOverride w:val="1"/>
    </w:lvlOverride>
  </w:num>
  <w:num w:numId="30">
    <w:abstractNumId w:val="9"/>
    <w:lvlOverride w:ilvl="0">
      <w:startOverride w:val="1"/>
    </w:lvlOverride>
  </w:num>
  <w:num w:numId="31">
    <w:abstractNumId w:val="10"/>
  </w:num>
  <w:num w:numId="32">
    <w:abstractNumId w:val="10"/>
  </w:num>
  <w:num w:numId="3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color w:val="1B24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52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5BF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 w:line="252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5B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B3E9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03_sla_sor_gwarancje</dc:title>
  <dc:subject>ALDERHALL - dokument roboczy</dc:subject>
  <dc:creator/>
  <cp:keywords>ALDERHALL, Arsimo, biuro operacyjne</cp:keywords>
  <dc:description>Wersja robocza do przeglądu przed użyciem produkcyjnym.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