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 w:eastAsia="Calibri"/>
          <w:b/>
          <w:color w:val="FF7A59"/>
          <w:sz w:val="19"/>
        </w:rPr>
        <w:t>ALDERHALL  /  WZÓR ROBOCZY</w:t>
      </w:r>
    </w:p>
    <w:p>
      <w:pPr>
        <w:spacing w:after="80"/>
      </w:pPr>
      <w:r>
        <w:rPr>
          <w:rFonts w:ascii="Calibri" w:hAnsi="Calibri" w:eastAsia="Calibri"/>
          <w:b/>
          <w:color w:val="1B2430"/>
          <w:sz w:val="48"/>
        </w:rPr>
        <w:t>Umowa ramowa świadczenia usług operacyjnych - wzór roboczy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Wersja:</w:t>
      </w:r>
      <w:r>
        <w:rPr>
          <w:rFonts w:ascii="Calibri" w:hAnsi="Calibri" w:eastAsia="Calibri"/>
          <w:b w:val="0"/>
          <w:color w:val="5F6B7A"/>
          <w:sz w:val="19"/>
        </w:rPr>
        <w:t xml:space="preserve"> 0.9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Data wzoru:</w:t>
      </w:r>
      <w:r>
        <w:rPr>
          <w:rFonts w:ascii="Calibri" w:hAnsi="Calibri" w:eastAsia="Calibri"/>
          <w:b w:val="0"/>
          <w:color w:val="5F6B7A"/>
          <w:sz w:val="19"/>
        </w:rPr>
        <w:t xml:space="preserve"> 31 lipca 2026 r.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Status:</w:t>
      </w:r>
      <w:r>
        <w:rPr>
          <w:rFonts w:ascii="Calibri" w:hAnsi="Calibri" w:eastAsia="Calibri"/>
          <w:b w:val="0"/>
          <w:color w:val="5F6B7A"/>
          <w:sz w:val="19"/>
        </w:rPr>
        <w:t xml:space="preserve"> do przeglądu prawnego przed pierwszym użyciem</w:t>
      </w:r>
    </w:p>
    <w:p>
      <w:pPr>
        <w:spacing w:before="200" w:after="160"/>
        <w:pBdr>
          <w:left w:val="single" w:sz="16" w:space="8" w:color="2F5BFF"/>
        </w:pBdr>
        <w:shd w:fill="F1F5FF"/>
      </w:pPr>
      <w:r>
        <w:rPr>
          <w:rFonts w:ascii="Calibri" w:hAnsi="Calibri" w:eastAsia="Calibri"/>
          <w:b/>
          <w:color w:val="1B2430"/>
          <w:sz w:val="20"/>
        </w:rPr>
        <w:t>Dokument wymaga uzupełnienia pól i końcowego przeglądu przed użyciem produkcyjnym.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Wzór B2B. Pola w nawiasach kwadratowych należy uzupełnić. Załączniki: Karta Pakietu/Zlecenia, SLA i Firmowy SOR, Standard Gwarancji, NDA oraz - jeżeli ma zastosowanie - Umowa Powierzenia Danych.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1. Strony</w:t>
      </w:r>
    </w:p>
    <w:p>
      <w:r>
        <w:rPr>
          <w:rFonts w:ascii="Calibri" w:hAnsi="Calibri" w:eastAsia="Calibri"/>
          <w:b w:val="0"/>
          <w:color w:val="1B2430"/>
          <w:sz w:val="22"/>
        </w:rPr>
        <w:t xml:space="preserve">Umowa zostaje zawarta w dniu </w:t>
      </w:r>
      <w:r>
        <w:rPr>
          <w:rFonts w:ascii="Calibri" w:hAnsi="Calibri" w:eastAsia="Calibri"/>
          <w:b/>
          <w:color w:val="1B2430"/>
          <w:sz w:val="22"/>
        </w:rPr>
        <w:t>[data]</w:t>
      </w:r>
      <w:r>
        <w:rPr>
          <w:rFonts w:ascii="Calibri" w:hAnsi="Calibri" w:eastAsia="Calibri"/>
          <w:b w:val="0"/>
          <w:color w:val="1B2430"/>
          <w:sz w:val="22"/>
        </w:rPr>
        <w:t xml:space="preserve"> pomiędzy:</w:t>
      </w:r>
    </w:p>
    <w:p>
      <w:r>
        <w:rPr>
          <w:rFonts w:ascii="Calibri" w:hAnsi="Calibri" w:eastAsia="Calibri"/>
          <w:b/>
          <w:color w:val="1B2430"/>
          <w:sz w:val="22"/>
        </w:rPr>
        <w:t>ARSIMO spółka z ograniczoną odpowiedzialnością</w:t>
      </w:r>
      <w:r>
        <w:rPr>
          <w:rFonts w:ascii="Calibri" w:hAnsi="Calibri" w:eastAsia="Calibri"/>
          <w:b w:val="0"/>
          <w:color w:val="1B2430"/>
          <w:sz w:val="22"/>
        </w:rPr>
        <w:t xml:space="preserve"> z siedzibą w Poznaniu, ul. Augustyna Szamarzewskiego 21/2, 60-514 Poznań, wpisaną do rejestru przedsiębiorców KRS pod numerem </w:t>
      </w:r>
      <w:r>
        <w:rPr>
          <w:rFonts w:ascii="Calibri" w:hAnsi="Calibri" w:eastAsia="Calibri"/>
          <w:b/>
          <w:color w:val="1B2430"/>
          <w:sz w:val="22"/>
        </w:rPr>
        <w:t>[KRS]</w:t>
      </w:r>
      <w:r>
        <w:rPr>
          <w:rFonts w:ascii="Calibri" w:hAnsi="Calibri" w:eastAsia="Calibri"/>
          <w:b w:val="0"/>
          <w:color w:val="1B2430"/>
          <w:sz w:val="22"/>
        </w:rPr>
        <w:t xml:space="preserve">, NIP </w:t>
      </w:r>
      <w:r>
        <w:rPr>
          <w:rFonts w:ascii="Calibri" w:hAnsi="Calibri" w:eastAsia="Calibri"/>
          <w:b/>
          <w:color w:val="1B2430"/>
          <w:sz w:val="22"/>
        </w:rPr>
        <w:t>[NIP]</w:t>
      </w:r>
      <w:r>
        <w:rPr>
          <w:rFonts w:ascii="Calibri" w:hAnsi="Calibri" w:eastAsia="Calibri"/>
          <w:b w:val="0"/>
          <w:color w:val="1B2430"/>
          <w:sz w:val="22"/>
        </w:rPr>
        <w:t xml:space="preserve">, REGON </w:t>
      </w:r>
      <w:r>
        <w:rPr>
          <w:rFonts w:ascii="Calibri" w:hAnsi="Calibri" w:eastAsia="Calibri"/>
          <w:b/>
          <w:color w:val="1B2430"/>
          <w:sz w:val="22"/>
        </w:rPr>
        <w:t>[REGON]</w:t>
      </w:r>
      <w:r>
        <w:rPr>
          <w:rFonts w:ascii="Calibri" w:hAnsi="Calibri" w:eastAsia="Calibri"/>
          <w:b w:val="0"/>
          <w:color w:val="1B2430"/>
          <w:sz w:val="22"/>
        </w:rPr>
        <w:t>, reprezentowaną przez Kasandrę Nikolę Kamińską-Tatarę - Prezesa Zarządu, operatorem marki ALDERHALL, dalej „ALDERHALL” lub „Usługodawca”,</w:t>
      </w:r>
    </w:p>
    <w:p>
      <w:r>
        <w:rPr>
          <w:rFonts w:ascii="Calibri" w:hAnsi="Calibri" w:eastAsia="Calibri"/>
          <w:b w:val="0"/>
          <w:color w:val="1B2430"/>
          <w:sz w:val="22"/>
        </w:rPr>
        <w:t>a</w:t>
      </w:r>
    </w:p>
    <w:p>
      <w:r>
        <w:rPr>
          <w:rFonts w:ascii="Calibri" w:hAnsi="Calibri" w:eastAsia="Calibri"/>
          <w:b/>
          <w:color w:val="1B2430"/>
          <w:sz w:val="22"/>
        </w:rPr>
        <w:t>[pełna firma Klienta]</w:t>
      </w:r>
      <w:r>
        <w:rPr>
          <w:rFonts w:ascii="Calibri" w:hAnsi="Calibri" w:eastAsia="Calibri"/>
          <w:b w:val="0"/>
          <w:color w:val="1B2430"/>
          <w:sz w:val="22"/>
        </w:rPr>
        <w:t xml:space="preserve">, z siedzibą/adresem </w:t>
      </w:r>
      <w:r>
        <w:rPr>
          <w:rFonts w:ascii="Calibri" w:hAnsi="Calibri" w:eastAsia="Calibri"/>
          <w:b/>
          <w:color w:val="1B2430"/>
          <w:sz w:val="22"/>
        </w:rPr>
        <w:t>[adres]</w:t>
      </w:r>
      <w:r>
        <w:rPr>
          <w:rFonts w:ascii="Calibri" w:hAnsi="Calibri" w:eastAsia="Calibri"/>
          <w:b w:val="0"/>
          <w:color w:val="1B2430"/>
          <w:sz w:val="22"/>
        </w:rPr>
        <w:t xml:space="preserve">, NIP </w:t>
      </w:r>
      <w:r>
        <w:rPr>
          <w:rFonts w:ascii="Calibri" w:hAnsi="Calibri" w:eastAsia="Calibri"/>
          <w:b/>
          <w:color w:val="1B2430"/>
          <w:sz w:val="22"/>
        </w:rPr>
        <w:t>[NIP]</w:t>
      </w:r>
      <w:r>
        <w:rPr>
          <w:rFonts w:ascii="Calibri" w:hAnsi="Calibri" w:eastAsia="Calibri"/>
          <w:b w:val="0"/>
          <w:color w:val="1B2430"/>
          <w:sz w:val="22"/>
        </w:rPr>
        <w:t xml:space="preserve">, KRS/CEIDG </w:t>
      </w:r>
      <w:r>
        <w:rPr>
          <w:rFonts w:ascii="Calibri" w:hAnsi="Calibri" w:eastAsia="Calibri"/>
          <w:b/>
          <w:color w:val="1B2430"/>
          <w:sz w:val="22"/>
        </w:rPr>
        <w:t>[dane]</w:t>
      </w:r>
      <w:r>
        <w:rPr>
          <w:rFonts w:ascii="Calibri" w:hAnsi="Calibri" w:eastAsia="Calibri"/>
          <w:b w:val="0"/>
          <w:color w:val="1B2430"/>
          <w:sz w:val="22"/>
        </w:rPr>
        <w:t xml:space="preserve">, reprezentowaną przez </w:t>
      </w:r>
      <w:r>
        <w:rPr>
          <w:rFonts w:ascii="Calibri" w:hAnsi="Calibri" w:eastAsia="Calibri"/>
          <w:b/>
          <w:color w:val="1B2430"/>
          <w:sz w:val="22"/>
        </w:rPr>
        <w:t>[osoba i podstawa reprezentacji]</w:t>
      </w:r>
      <w:r>
        <w:rPr>
          <w:rFonts w:ascii="Calibri" w:hAnsi="Calibri" w:eastAsia="Calibri"/>
          <w:b w:val="0"/>
          <w:color w:val="1B2430"/>
          <w:sz w:val="22"/>
        </w:rPr>
        <w:t>, dalej „Klient”,</w:t>
      </w:r>
    </w:p>
    <w:p>
      <w:r>
        <w:rPr>
          <w:rFonts w:ascii="Calibri" w:hAnsi="Calibri" w:eastAsia="Calibri"/>
          <w:b w:val="0"/>
          <w:color w:val="1B2430"/>
          <w:sz w:val="22"/>
        </w:rPr>
        <w:t>łącznie zwanymi „Stronami”.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2. Cel i charakter współpracy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świadczy na rzecz Klienta usługi zewnętrznego biura operacyjnego: przyjmuje sprawy, porządkuje stan faktyczny, ustala oczekiwany rezultat, wykonuje uzgodnione czynności lub koordynuje wykonawców oraz dokumentuje zamknięcie sprawy.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Szczegółowy zakres wynika z wybranego pakietu, zaakceptowanych Zleceń, załączników i późniejszych ustaleń dokonanych w formie dokumentowej.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Umowa ma charakter ramowy. Samo przesłanie pytania lub materiałów nie oznacza przyjęcia każdej sprawy do realizacji. Przyjęcie następuje po potwierdzeniu zakresu, puli/punktów albo ceny, terminu oraz materiałów wymaganych od Klienta.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nie jest kancelarią prawną, biurem rachunkowym, doradcą podatkowym ani podmiotem wykonującym czynności zastrzeżone dla zawodów regulowanych. Gdy sprawa wymaga takich kompetencji, Strony uzgadniają udział uprawnionego specjalisty.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3. Definicje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Sprawa</w:t>
      </w:r>
      <w:r>
        <w:rPr>
          <w:rFonts w:ascii="Calibri" w:hAnsi="Calibri" w:eastAsia="Calibri"/>
          <w:b w:val="0"/>
          <w:color w:val="1B2430"/>
          <w:sz w:val="22"/>
        </w:rPr>
        <w:t xml:space="preserve"> - zgłoszony przez Klienta temat wymagający kwalifikacji i określenia rezultatu.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Zlecenie</w:t>
      </w:r>
      <w:r>
        <w:rPr>
          <w:rFonts w:ascii="Calibri" w:hAnsi="Calibri" w:eastAsia="Calibri"/>
          <w:b w:val="0"/>
          <w:color w:val="1B2430"/>
          <w:sz w:val="22"/>
        </w:rPr>
        <w:t xml:space="preserve"> - Sprawa przyjęta przez ALDERHALL do realizacji z zaakceptowanym zakresem, terminem, punktami/ceną i odpowiedzialnościami.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Rezultat</w:t>
      </w:r>
      <w:r>
        <w:rPr>
          <w:rFonts w:ascii="Calibri" w:hAnsi="Calibri" w:eastAsia="Calibri"/>
          <w:b w:val="0"/>
          <w:color w:val="1B2430"/>
          <w:sz w:val="22"/>
        </w:rPr>
        <w:t xml:space="preserve"> - materiał, czynność, konfiguracja, koordynacja albo inne świadczenie wyraźnie wskazane w Zleceniu.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Punkt</w:t>
      </w:r>
      <w:r>
        <w:rPr>
          <w:rFonts w:ascii="Calibri" w:hAnsi="Calibri" w:eastAsia="Calibri"/>
          <w:b w:val="0"/>
          <w:color w:val="1B2430"/>
          <w:sz w:val="22"/>
        </w:rPr>
        <w:t xml:space="preserve"> - jednostka złożoności, odpowiedzialności i przepustowości, niebędąca przelicznikiem jednej godziny pracy.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Panel</w:t>
      </w:r>
      <w:r>
        <w:rPr>
          <w:rFonts w:ascii="Calibri" w:hAnsi="Calibri" w:eastAsia="Calibri"/>
          <w:b w:val="0"/>
          <w:color w:val="1B2430"/>
          <w:sz w:val="22"/>
        </w:rPr>
        <w:t xml:space="preserve"> - udostępniony przez ALDERHALL system zgłoszeń; do czasu jego uruchomienia tę samą funkcję może pełnić wskazany adres e-mail i rejestr spraw.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Forma dokumentowa</w:t>
      </w:r>
      <w:r>
        <w:rPr>
          <w:rFonts w:ascii="Calibri" w:hAnsi="Calibri" w:eastAsia="Calibri"/>
          <w:b w:val="0"/>
          <w:color w:val="1B2430"/>
          <w:sz w:val="22"/>
        </w:rPr>
        <w:t xml:space="preserve"> - w szczególności e-mail, wiadomość w Panelu lub SMS umożliwiający ustalenie osoby składającej oświadczenie i jego treści.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Godziny Serwisowe</w:t>
      </w:r>
      <w:r>
        <w:rPr>
          <w:rFonts w:ascii="Calibri" w:hAnsi="Calibri" w:eastAsia="Calibri"/>
          <w:b w:val="0"/>
          <w:color w:val="1B2430"/>
          <w:sz w:val="22"/>
        </w:rPr>
        <w:t xml:space="preserve"> - godziny określone w załączniku SLA.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Specjalista Zewnętrzny</w:t>
      </w:r>
      <w:r>
        <w:rPr>
          <w:rFonts w:ascii="Calibri" w:hAnsi="Calibri" w:eastAsia="Calibri"/>
          <w:b w:val="0"/>
          <w:color w:val="1B2430"/>
          <w:sz w:val="22"/>
        </w:rPr>
        <w:t xml:space="preserve"> - osoba lub podmiot posiadający kompetencje potrzebne do części Zlecenia, w tym prawnik, doradca podatkowy, księgowy, informatyk lub wykonawca kreatywny.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4. Zgłaszanie i kwalifikacja Spraw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zgłasza Sprawę przez Panel, wskazany adres e-mail albo kanał awaryjny określony w SLA.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Zgłoszenie powinno zawierać co najmniej: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opis sytuacji własnymi słowami;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oczekiwany rezultat;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znane terminy zewnętrzne;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osoby lub instytucje uczestniczące;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materiały, które Klient posiada;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informację o szczególnej poufności lub ryzyku.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może poprosić o uzupełnienia, odmówić przyjęcia sprawy albo zaproponować udział Specjalisty Zewnętrznego.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Przed rozpoczęciem odpłatnej pracy ALDERHALL przekazuje w formie dokumentowej: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nazwę i krótki cel Zlecenia;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listę Rezultatów;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materiały wymagane od Klienta;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liczbę punktów albo cenę ryczałtową;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przewidywany termin;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koszty zewnętrzne i założenia;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ryzyka i wyłączenia, jeśli występują.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Akceptacja Klienta w formie dokumentowej tworzy Zlecenie. W przypadku działania w Firmowym SOR stosuje się dodatkowo § 8 i Kartę Interwencji.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po rozpoczęciu ujawni się istotna zmiana zakresu, ALDERHALL zatrzymuje pracę w części dotkniętej zmianą i przedstawia korektę wyceny lub terminu. Brak akceptacji oznacza zakończenie Zlecenia na etapie możliwym do bezpiecznego przekazania.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5. Pakiet, pula i rozliczenie punktów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Wybrany pakiet, opłata, pula, okres rozliczeniowy, liczba aktywnych Spraw i zasady przenoszenia punktów są wskazane w Karcie Pakietu.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Punkty są rezerwowane po akceptacji Zlecenia i rozliczane przy przekazaniu Rezultatu albo wykonaniu uzgodnionej czynności.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Klient rezygnuje po rozpoczęciu z przyczyn niezależnych od ALDERHALL, rozlicza się część odpowiadającą wykonanej pracy i wykorzystanej przepustowości, nie więcej niż zaakceptowany zakres bez dodatkowej zgody.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Jedna runda drobnych poprawek mieści się w zaakceptowanym Zleceniu, o ile nie zmienia celu, danych wejściowych ani założeń. Dalsze lub zakresowe zmiany mogą wymagać punktów.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Punkty przeniesione wygasają zgodnie z Kartą Pakietu. W pierwszej kolejności wykorzystywane są punkty z najbliższą datą wygaśnięcia.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Punkty nie podlegają wymianie na gotówkę i nie mogą być przeniesione na inny podmiot bez zgody ALDERHALL.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6. Wynagrodzenie i płatności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Ceny w Karcie Pakietu lub Zleceniu są cenami netto. Podatek VAT jest doliczany według stawki obowiązującej, jeżeli ma zastosowanie.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Abonament jest płatny z góry na podstawie faktury, w terminie </w:t>
      </w:r>
      <w:r>
        <w:rPr>
          <w:rFonts w:ascii="Calibri" w:hAnsi="Calibri" w:eastAsia="Calibri"/>
          <w:b/>
          <w:color w:val="1B2430"/>
          <w:sz w:val="22"/>
        </w:rPr>
        <w:t>[7] dni</w:t>
      </w:r>
      <w:r>
        <w:rPr>
          <w:rFonts w:ascii="Calibri" w:hAnsi="Calibri" w:eastAsia="Calibri"/>
          <w:b w:val="0"/>
          <w:color w:val="1B2430"/>
          <w:sz w:val="22"/>
        </w:rPr>
        <w:t>, nie później niż w pierwszym dniu okresu rozliczeniowego.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Pierwsza Sprawa, projekt i koszty zewnętrzne mogą wymagać przedpłaty. Harmonogram projektu określa Zlecenie.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nie ponosi kosztu urzędowego, licencji, reklamy, przesyłki, podróży, sprzętu lub Specjalisty Zewnętrznego bez akceptacji Klienta.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Opóźnienie płatności uprawnia ALDERHALL do wstrzymania rozpoczynania nowych Zleceń po uprzednim wezwaniu. Wstrzymanie nie obejmuje czynności koniecznych do bezpiecznego zwrotu danych i dostępów.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Zmiana cennika nie wpływa na opłacony okres. O zmianie abonamentu ALDERHALL informuje co najmniej 30 dni wcześniej. Klient może wypowiedzieć umowę przed rozpoczęciem okresu objętego nową ceną.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7. Obowiązki Klienta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przekazuje informacje prawdziwe, kompletne i niezwłocznie informuje o zmianie stanu faktycznego lub terminu.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pozostaje odpowiedzialny za decyzje gospodarcze, merytoryczną prawdziwość przekazanych danych i ostateczną akceptację dokumentów składanych w jego imieniu.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zapewnia legalny dostęp do systemów, danych i materiałów oraz wskazuje osoby uprawnione do wydawania dyspozycji.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nie przesyła haseł zwykłym e-mailem. Dostępy przekazuje kanałem uzgodnionym przez ALDERHALL.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Rezultat wymaga decyzji Klienta, bieg terminu ALDERHALL ulega wstrzymaniu do czasu jej otrzymania.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nie zleca ALDERHALL ukrywania faktów, wprowadzania organu lub kontrahenta w błąd, obchodzenia prawa ani używania cudzej własności intelektualnej bez podstawy.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8. Firmowy SOR i działanie bez pełnej umowy szczegółowej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 sprawie krytycznej ALDERHALL może rozpocząć triage i czynności zabezpieczające przed podpisaniem pełnego Zlecenia, zgodnie z załącznikiem SLA i Firmowy SOR.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Bez dodatkowego umocowania ALDERHALL nie wysyła oświadczeń w imieniu Klienta, nie dokonuje płatności, nie usuwa danych, nie zmienia właściciela konta, nie zawiera umów ani nie podejmuje czynności nieodwracalnych.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 czynności zewnętrznej wystarcza potwierdzenie w formie dokumentowej określające osobę zlecającą, zakres, limit kosztu i zgodę na użycie niezbędnych danych.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Bezpłatny triage jest ograniczony do jednego użycia na NIP i 30 minut pracy. Nie stanowi zobowiązania do bezpłatnego ukończenia Sprawy.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może odmówić interwencji, jeżeli brak czasu na bezpieczne działanie, występuje konflikt interesów, brakuje kompetencji lub dyspozycja jest niezgodna z prawem.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9. Specjaliści Zewnętrzni i podwykonawcy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może korzystać z podwykonawców w zakresie zwykłego wykonania usług, zachowując odpowiedzialność za ich organizację jak za własne działania, z zastrzeżeniem odrębnie zakontraktowanego Specjalisty Zewnętrznego.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Udział specjalisty regulowanego wymaga akceptacji kosztu i modelu odpowiedzialności. Umowa może zostać zawarta bezpośrednio między Klientem a specjalistą lub przez ALDERHALL, jeżeli jest to prawnie i organizacyjnie właściwe.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ujawnia Klientowi prowizję, rabat albo inne istotne powiązanie z rekomendowanym dostawcą przed jego wyborem.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Każdy podmiot mający dostęp do Informacji Poufnych jest związany poufnością, a dostęp do danych osobowych wymaga zgodności z załącznikiem powierzenia.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10. Upoważnienia i reprezentacja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Kontakt informacyjny albo techniczny może być wykonywany w zakresie zaakceptowanego Zlecenia.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Składanie oświadczeń, podpisywanie dokumentów, odbiór korespondencji, dostęp do e-Doręczeń/KSeF lub reprezentacja wymagają właściwego upoważnienia albo pełnomocnictwa.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Rejestr upoważnień określa co najmniej zakres, system, datę nadania, osobę uprawnioną i datę odebrania.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może odwołać upoważnienie w każdym czasie. Powinien poinformować ALDERHALL kanałem pozwalającym potwierdzić doręczenie.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11. Poufność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chroni informacje Klienta od chwili pierwszego kontaktu, niezależnie od późniejszego zawarcia umowy.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Szczegółowe zasady określa NDA. W razie braku odrębnego NDA co najmniej obowiązują niniejsze zasady: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są wykorzystywane wyłącznie do kwalifikacji i realizacji Sprawy;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dostęp mają osoby, którym jest on niezbędny;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fakt współpracy, problem i rezultat nie są publikowane bez odrębnej pisemnej zgody;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ujawnienie następuje tylko w zakresie wymaganym przez bezwzględnie obowiązujące prawo lub wiążące żądanie uprawnionego organu;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 ujawnieniu ALDERHALL informuje Klienta, jeżeli prawo tego nie zabrania.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Obowiązek nie obejmuje informacji publicznych, legalnie znanych wcześniej, legalnie uzyskanych od osoby trzeciej lub niezależnie opracowanych bez użycia informacji Klienta.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12. Dane osobowe i bezpieczeństwo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Strony ustalają role w zakresie RODO dla każdego rodzaju danych. Jeżeli ALDERHALL przetwarza dane w imieniu Klienta, przed rozpoczęciem stosuje się Umowę Powierzenia.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stosuje dostęp według potrzeby, indywidualne konta, MFA tam, gdzie jest dostępne, bezpieczny kanał haseł, kopie oraz rejestr nadanych i odebranych uprawnień.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Danych identyfikujących Klienta nie wprowadza się do publicznych modeli AI. Szczegółowy tryb użycia narzędzi generatywnych może określać Karta Zlecenia lub Tryb Sejf.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Incydenty bezpieczeństwa są obsługiwane zgodnie z Umową Powierzenia i procedurą incydentową.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13. Prawa własności intelektualnej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Prawa do Rezultatu określa Zlecenie. Jeżeli Zlecenie nie stanowi inaczej, po pełnej zapłacie Klient otrzymuje niewyłączną, bezterminową licencję do korzystania z Rezultatu w działalności własnej, z prawem modyfikacji na własne potrzeby.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Przeniesienie autorskich praw majątkowych wymaga wyraźnego postanowienia wskazującego pola eksploatacji i wynagrodzenie.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Wcześniejsze szablony, procedury, know-how, biblioteki, komponenty, Arsimo Engine i inne narzędzia bazowe pozostają własnością ALDERHALL/ARSIMO lub właściwego licencjodawcy.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zachowuje prawa do przekazanych materiałów i udziela ALDERHALL upoważnienia koniecznego do wykonania Zlecenia.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Materiały osób trzecich, w tym fonty, zdjęcia, wtyczki i licencje, podlegają własnym warunkom.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14. Odbiór i zamknięcie Zlecenia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przekazuje Rezultat wskazanym kanałem i oznacza Sprawę jako „Gotowa”.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Klient w terminie </w:t>
      </w:r>
      <w:r>
        <w:rPr>
          <w:rFonts w:ascii="Calibri" w:hAnsi="Calibri" w:eastAsia="Calibri"/>
          <w:b/>
          <w:color w:val="1B2430"/>
          <w:sz w:val="22"/>
        </w:rPr>
        <w:t>[3] dni roboczych</w:t>
      </w:r>
      <w:r>
        <w:rPr>
          <w:rFonts w:ascii="Calibri" w:hAnsi="Calibri" w:eastAsia="Calibri"/>
          <w:b w:val="0"/>
          <w:color w:val="1B2430"/>
          <w:sz w:val="22"/>
        </w:rPr>
        <w:t xml:space="preserve"> zgłasza konkretne braki względem zaakceptowanego zakresu. Brak odpowiedzi nie pozbawia praw z gwarancji, ale pozwala przejść do administracyjnego zamknięcia Sprawy.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Status „Zamknięta” wymaga przekazania Rezultatu, plików, krótkiego podsumowania i - jeżeli potrzebne - następnego kroku.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Błąd lub brak względem briefu ALDERHALL usuwa bez dodatkowych punktów w ramach Standardu Gwarancji.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15. SLA, gwarancje i reklamacje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Czasy reakcji, priorytety, Godziny Serwisowe, wyłączenia i kredyty określa załącznik SLA i Firmowy SOR.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Gwarancje dotyczą procesu, uzgodnionego Rezultatu i standardu wykonania. Nie obejmują decyzji urzędu, sądu, banku, kontrahenta, wyniku kampanii ani działania systemu osoby trzeciej.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Reklamację Klient składa na adres </w:t>
      </w:r>
      <w:r>
        <w:rPr>
          <w:rFonts w:ascii="Calibri" w:hAnsi="Calibri" w:eastAsia="Calibri"/>
          <w:b/>
          <w:color w:val="1B2430"/>
          <w:sz w:val="22"/>
        </w:rPr>
        <w:t>[reklamacje@alderhall.pl]</w:t>
      </w:r>
      <w:r>
        <w:rPr>
          <w:rFonts w:ascii="Calibri" w:hAnsi="Calibri" w:eastAsia="Calibri"/>
          <w:b w:val="0"/>
          <w:color w:val="1B2430"/>
          <w:sz w:val="22"/>
        </w:rPr>
        <w:t xml:space="preserve"> albo przez Panel, opisując Zlecenie, brak i oczekiwany sposób rozwiązania.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potwierdza reklamację w 1 dzień roboczy i odpowiada merytorycznie w terminie 7 dni roboczych, chyba że sprawa wymaga danych od osoby trzeciej.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16. Odpowiedzialność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Każda Strona odpowiada za niewykonanie lub nienależyte wykonanie umowy na zasadach ogólnych, z uwzględnieniem poniższych ograniczeń dopuszczalnych prawem.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nie odpowiada za skutek danych nieprawdziwych, niepełnych, dostarczonych po terminie, decyzji podjętej wbrew wyraźnemu ostrzeżeniu ani działania osoby trzeciej poza kontrolą ALDERHALL.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ALDERHALL nie odpowiada za utracone korzyści, chyba że szkoda została wyrządzona umyślnie. </w:t>
      </w:r>
      <w:r>
        <w:rPr>
          <w:rFonts w:ascii="Calibri" w:hAnsi="Calibri" w:eastAsia="Calibri"/>
          <w:b/>
          <w:color w:val="1B2430"/>
          <w:sz w:val="22"/>
        </w:rPr>
        <w:t>[Postanowienie do indywidualnego przeglądu prawnego.]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Łączna odpowiedzialność ALDERHALL z jednego zdarzenia lub serii powiązanych zdarzeń jest ograniczona do </w:t>
      </w:r>
      <w:r>
        <w:rPr>
          <w:rFonts w:ascii="Calibri" w:hAnsi="Calibri" w:eastAsia="Calibri"/>
          <w:b/>
          <w:color w:val="1B2430"/>
          <w:sz w:val="22"/>
        </w:rPr>
        <w:t>[trzykrotności opłat z ostatnich 3 miesięcy / kwoty polisy / innej kwoty]</w:t>
      </w:r>
      <w:r>
        <w:rPr>
          <w:rFonts w:ascii="Calibri" w:hAnsi="Calibri" w:eastAsia="Calibri"/>
          <w:b w:val="0"/>
          <w:color w:val="1B2430"/>
          <w:sz w:val="22"/>
        </w:rPr>
        <w:t>, z wyłączeniem szkody umyślnej oraz zakresów, których nie wolno ograniczyć.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Odpowiedzialność Specjalisty Zewnętrznego kontraktowanego bezpośrednio przez Klienta wynika z jego umowy z Klientem. ALDERHALL odpowiada za własną koordynację, nie za regulowaną opinię specjalisty.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Kary umowne za poufność mogą zostać określone w NDA. Nie wyłączają dochodzenia odszkodowania ponad karę, jeżeli NDA tak stanowi.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17. Okres obowiązywania i zakończenie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Umowa zostaje zawarta na czas </w:t>
      </w:r>
      <w:r>
        <w:rPr>
          <w:rFonts w:ascii="Calibri" w:hAnsi="Calibri" w:eastAsia="Calibri"/>
          <w:b/>
          <w:color w:val="1B2430"/>
          <w:sz w:val="22"/>
        </w:rPr>
        <w:t>[nieokreślony / określony do ...]</w:t>
      </w:r>
      <w:r>
        <w:rPr>
          <w:rFonts w:ascii="Calibri" w:hAnsi="Calibri" w:eastAsia="Calibri"/>
          <w:b w:val="0"/>
          <w:color w:val="1B2430"/>
          <w:sz w:val="22"/>
        </w:rPr>
        <w:t>.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Dostęp i Opieka mogą być wypowiedziane do końca bieżącego okresu rozliczeniowego ze skutkiem na koniec tego okresu, o ile Karta Pakietu nie przewiduje korzystniejszej zasady.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Biuro rozpoczyna się miesiącem pilotażowym. Po pilotażu Strony potwierdzają dalszy okres w Karcie Pakietu.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Każda Strona może rozwiązać umowę ze skutkiem natychmiastowym w razie istotnego naruszenia, którego druga Strona nie usunęła w terminie 7 dni od wezwania, a bez wezwania - gdy dalsza współpraca byłaby nielegalna, zagrażała bezpieczeństwu albo wiązała się z umyślnym nadużyciem.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 zakończeniu ALDERHALL: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kończy lub bezpiecznie przekazuje otwarte Zlecenia według uzgodnienia;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rozlicza wykorzystaną pulę i koszty;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przekazuje Rezultaty i rejestr dostępów;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odbiera swoje uprawnienia;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zwraca lub usuwa dane zgodnie z NDA, RODO i retencją;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zachowuje dokumenty wymagane prawem i kopie bezpieczeństwa do cyklicznego nadpisania.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18. Konflikt interesów i zgodność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sprawdza konflikt interesów przed przyjęciem sporu albo szczególnie wrażliwej Sprawy.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 razie konfliktu odmawia przyjęcia, nie ujawniając informacji drugiej strony.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może odmówić czynności naruszającej prawo, prawa osób trzecich, sankcje, bezpieczeństwo albo dobre obyczaje gospodarcze.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19. Siła wyższa i ciągłość</w:t>
      </w:r>
    </w:p>
    <w:p>
      <w:pPr>
        <w:spacing w:after="80" w:line="300" w:lineRule="auto"/>
        <w:ind w:left="540" w:hanging="271"/>
        <w:jc w:val="left"/>
        <w:numPr>
          <w:ilvl w:val="0"/>
          <w:numId w:val="3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Strona nie odpowiada za opóźnienie spowodowane zdarzeniem pozostającym poza jej rozsądną kontrolą, o ile niezwłocznie poinformuje drugą Stronę i ograniczy skutki.</w:t>
      </w:r>
    </w:p>
    <w:p>
      <w:pPr>
        <w:spacing w:after="80" w:line="300" w:lineRule="auto"/>
        <w:ind w:left="540" w:hanging="271"/>
        <w:jc w:val="left"/>
        <w:numPr>
          <w:ilvl w:val="0"/>
          <w:numId w:val="3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Awaria dostawcy zewnętrznego nie zwalnia ALDERHALL z obowiązku informacji, zabezpieczenia danych i uruchomienia uzgodnionej procedury ciągłości.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20. Komunikacja i osoby uprawnione</w:t>
      </w:r>
    </w:p>
    <w:p>
      <w:pPr>
        <w:spacing w:after="80" w:line="300" w:lineRule="auto"/>
        <w:ind w:left="540" w:hanging="271"/>
        <w:jc w:val="left"/>
        <w:numPr>
          <w:ilvl w:val="0"/>
          <w:numId w:val="3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Osoby uprawnione po stronie Klienta: </w:t>
      </w:r>
      <w:r>
        <w:rPr>
          <w:rFonts w:ascii="Calibri" w:hAnsi="Calibri" w:eastAsia="Calibri"/>
          <w:b/>
          <w:color w:val="1B2430"/>
          <w:sz w:val="22"/>
        </w:rPr>
        <w:t>[imię, e-mail, telefon, zakres decyzji]</w:t>
      </w:r>
      <w:r>
        <w:rPr>
          <w:rFonts w:ascii="Calibri" w:hAnsi="Calibri" w:eastAsia="Calibri"/>
          <w:b w:val="0"/>
          <w:color w:val="1B2430"/>
          <w:sz w:val="22"/>
        </w:rPr>
        <w:t>.</w:t>
      </w:r>
    </w:p>
    <w:p>
      <w:pPr>
        <w:spacing w:after="80" w:line="300" w:lineRule="auto"/>
        <w:ind w:left="540" w:hanging="271"/>
        <w:jc w:val="left"/>
        <w:numPr>
          <w:ilvl w:val="0"/>
          <w:numId w:val="3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Osoby prowadzące po stronie ALDERHALL: </w:t>
      </w:r>
      <w:r>
        <w:rPr>
          <w:rFonts w:ascii="Calibri" w:hAnsi="Calibri" w:eastAsia="Calibri"/>
          <w:b/>
          <w:color w:val="1B2430"/>
          <w:sz w:val="22"/>
        </w:rPr>
        <w:t>[imię, e-mail, telefon]</w:t>
      </w:r>
      <w:r>
        <w:rPr>
          <w:rFonts w:ascii="Calibri" w:hAnsi="Calibri" w:eastAsia="Calibri"/>
          <w:b w:val="0"/>
          <w:color w:val="1B2430"/>
          <w:sz w:val="22"/>
        </w:rPr>
        <w:t>.</w:t>
      </w:r>
    </w:p>
    <w:p>
      <w:pPr>
        <w:spacing w:after="80" w:line="300" w:lineRule="auto"/>
        <w:ind w:left="540" w:hanging="271"/>
        <w:jc w:val="left"/>
        <w:numPr>
          <w:ilvl w:val="0"/>
          <w:numId w:val="3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Zmiana osób nie wymaga aneksu, jeżeli zostanie potwierdzona w formie dokumentowej.</w:t>
      </w:r>
    </w:p>
    <w:p>
      <w:pPr>
        <w:spacing w:after="80" w:line="300" w:lineRule="auto"/>
        <w:ind w:left="540" w:hanging="271"/>
        <w:jc w:val="left"/>
        <w:numPr>
          <w:ilvl w:val="0"/>
          <w:numId w:val="3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Oświadczenia o wypowiedzeniu, zmianie ceny, naruszeniu poufności i incydencie wysyła się na adresy wskazane w nagłówku lub inne potwierdzone adresy formalne.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§ 21. Postanowienia końcowe</w:t>
      </w:r>
    </w:p>
    <w:p>
      <w:pPr>
        <w:spacing w:after="80" w:line="300" w:lineRule="auto"/>
        <w:ind w:left="540" w:hanging="271"/>
        <w:jc w:val="left"/>
        <w:numPr>
          <w:ilvl w:val="0"/>
          <w:numId w:val="3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Do umowy stosuje się prawo polskie.</w:t>
      </w:r>
    </w:p>
    <w:p>
      <w:pPr>
        <w:spacing w:after="80" w:line="300" w:lineRule="auto"/>
        <w:ind w:left="540" w:hanging="271"/>
        <w:jc w:val="left"/>
        <w:numPr>
          <w:ilvl w:val="0"/>
          <w:numId w:val="3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Strony w pierwszej kolejności podejmą próbę rozwiązania sporu w ciągu 14 dni od pisemnego zgłoszenia.</w:t>
      </w:r>
    </w:p>
    <w:p>
      <w:pPr>
        <w:spacing w:after="80" w:line="300" w:lineRule="auto"/>
        <w:ind w:left="540" w:hanging="271"/>
        <w:jc w:val="left"/>
        <w:numPr>
          <w:ilvl w:val="0"/>
          <w:numId w:val="3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Sądem właściwym będzie </w:t>
      </w:r>
      <w:r>
        <w:rPr>
          <w:rFonts w:ascii="Calibri" w:hAnsi="Calibri" w:eastAsia="Calibri"/>
          <w:b/>
          <w:color w:val="1B2430"/>
          <w:sz w:val="22"/>
        </w:rPr>
        <w:t>[sąd właściwy dla siedziby pozwanego / uzgodniony sąd]</w:t>
      </w:r>
      <w:r>
        <w:rPr>
          <w:rFonts w:ascii="Calibri" w:hAnsi="Calibri" w:eastAsia="Calibri"/>
          <w:b w:val="0"/>
          <w:color w:val="1B2430"/>
          <w:sz w:val="22"/>
        </w:rPr>
        <w:t>, z zastrzeżeniem przepisów bezwzględnie obowiązujących.</w:t>
      </w:r>
    </w:p>
    <w:p>
      <w:pPr>
        <w:spacing w:after="80" w:line="300" w:lineRule="auto"/>
        <w:ind w:left="540" w:hanging="271"/>
        <w:jc w:val="left"/>
        <w:numPr>
          <w:ilvl w:val="0"/>
          <w:numId w:val="3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Zmiana umowy wymaga formy dokumentowej, chyba że przepis lub postanowienie dotyczące praw autorskich wymaga formy pisemnej.</w:t>
      </w:r>
    </w:p>
    <w:p>
      <w:pPr>
        <w:spacing w:after="80" w:line="300" w:lineRule="auto"/>
        <w:ind w:left="540" w:hanging="271"/>
        <w:jc w:val="left"/>
        <w:numPr>
          <w:ilvl w:val="0"/>
          <w:numId w:val="3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Nieważność jednego postanowienia nie narusza pozostałych; Strony zastąpią je postanowieniem możliwie najbliższym celowi gospodarczemu.</w:t>
      </w:r>
    </w:p>
    <w:p>
      <w:pPr>
        <w:spacing w:after="80" w:line="300" w:lineRule="auto"/>
        <w:ind w:left="540" w:hanging="271"/>
        <w:jc w:val="left"/>
        <w:numPr>
          <w:ilvl w:val="0"/>
          <w:numId w:val="3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Kolejność pierwszeństwa dokumentów: Karta Zlecenia, Karta Pakietu, SLA/Firmowy SOR, Umowa Powierzenia, NDA, niniejsza Umowa - chyba że dany dokument wyraźnie stanowi inaczej.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Podpisy</w:t>
      </w:r>
    </w:p>
    <w:p>
      <w:r>
        <w:rPr>
          <w:rFonts w:ascii="Calibri" w:hAnsi="Calibri" w:eastAsia="Calibri"/>
          <w:b/>
          <w:color w:val="1B2430"/>
          <w:sz w:val="22"/>
        </w:rPr>
        <w:t>ALDERHALL / ARSIMO sp. z o.o.</w:t>
      </w:r>
      <w:r>
        <w:rPr>
          <w:rFonts w:ascii="Calibri" w:hAnsi="Calibri" w:eastAsia="Calibri"/>
          <w:b w:val="0"/>
          <w:color w:val="1B2430"/>
          <w:sz w:val="22"/>
        </w:rPr>
        <w:t xml:space="preserve"> Imię i nazwisko: Kasandra Nikola Kamińska-Tatara Funkcja: Prezes Zarządu Data i podpis: ______________________________</w:t>
      </w:r>
    </w:p>
    <w:p>
      <w:r>
        <w:rPr>
          <w:rFonts w:ascii="Calibri" w:hAnsi="Calibri" w:eastAsia="Calibri"/>
          <w:b/>
          <w:color w:val="1B2430"/>
          <w:sz w:val="22"/>
        </w:rPr>
        <w:t>KLIENT</w:t>
      </w:r>
      <w:r>
        <w:rPr>
          <w:rFonts w:ascii="Calibri" w:hAnsi="Calibri" w:eastAsia="Calibri"/>
          <w:b w:val="0"/>
          <w:color w:val="1B2430"/>
          <w:sz w:val="22"/>
        </w:rPr>
        <w:t xml:space="preserve"> Imię i nazwisko: ____________________________ Funkcja: __________________________________ Data i podpis: ______________________________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Załącznik A - Karta Pakietu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Klient:</w:t>
      </w:r>
      <w:r>
        <w:rPr>
          <w:rFonts w:ascii="Calibri" w:hAnsi="Calibri" w:eastAsia="Calibri"/>
          <w:b w:val="0"/>
          <w:color w:val="1B2430"/>
          <w:sz w:val="22"/>
        </w:rPr>
        <w:t xml:space="preserve"> [firma]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Pakiet:</w:t>
      </w:r>
      <w:r>
        <w:rPr>
          <w:rFonts w:ascii="Calibri" w:hAnsi="Calibri" w:eastAsia="Calibri"/>
          <w:b w:val="0"/>
          <w:color w:val="1B2430"/>
          <w:sz w:val="22"/>
        </w:rPr>
        <w:t xml:space="preserve"> [Dostęp / Opieka / Biuro / Partner operacyjny / indywidualny]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Cena netto / okres:</w:t>
      </w:r>
      <w:r>
        <w:rPr>
          <w:rFonts w:ascii="Calibri" w:hAnsi="Calibri" w:eastAsia="Calibri"/>
          <w:b w:val="0"/>
          <w:color w:val="1B2430"/>
          <w:sz w:val="22"/>
        </w:rPr>
        <w:t xml:space="preserve"> [kwota]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Pula:</w:t>
      </w:r>
      <w:r>
        <w:rPr>
          <w:rFonts w:ascii="Calibri" w:hAnsi="Calibri" w:eastAsia="Calibri"/>
          <w:b w:val="0"/>
          <w:color w:val="1B2430"/>
          <w:sz w:val="22"/>
        </w:rPr>
        <w:t xml:space="preserve"> [punkty]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Dodatkowy punkt:</w:t>
      </w:r>
      <w:r>
        <w:rPr>
          <w:rFonts w:ascii="Calibri" w:hAnsi="Calibri" w:eastAsia="Calibri"/>
          <w:b w:val="0"/>
          <w:color w:val="1B2430"/>
          <w:sz w:val="22"/>
        </w:rPr>
        <w:t xml:space="preserve"> [cena]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Liczba aktywnych Spraw:</w:t>
      </w:r>
      <w:r>
        <w:rPr>
          <w:rFonts w:ascii="Calibri" w:hAnsi="Calibri" w:eastAsia="Calibri"/>
          <w:b w:val="0"/>
          <w:color w:val="1B2430"/>
          <w:sz w:val="22"/>
        </w:rPr>
        <w:t xml:space="preserve"> [liczba]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Zasady przenoszenia:</w:t>
      </w:r>
      <w:r>
        <w:rPr>
          <w:rFonts w:ascii="Calibri" w:hAnsi="Calibri" w:eastAsia="Calibri"/>
          <w:b w:val="0"/>
          <w:color w:val="1B2430"/>
          <w:sz w:val="22"/>
        </w:rPr>
        <w:t xml:space="preserve"> [zasada]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Okres pilotażowy/minimalny:</w:t>
      </w:r>
      <w:r>
        <w:rPr>
          <w:rFonts w:ascii="Calibri" w:hAnsi="Calibri" w:eastAsia="Calibri"/>
          <w:b w:val="0"/>
          <w:color w:val="1B2430"/>
          <w:sz w:val="22"/>
        </w:rPr>
        <w:t xml:space="preserve"> [zasada]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SLA:</w:t>
      </w:r>
      <w:r>
        <w:rPr>
          <w:rFonts w:ascii="Calibri" w:hAnsi="Calibri" w:eastAsia="Calibri"/>
          <w:b w:val="0"/>
          <w:color w:val="1B2430"/>
          <w:sz w:val="22"/>
        </w:rPr>
        <w:t xml:space="preserve"> [wariant]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Korzyść Noble Pixel:</w:t>
      </w:r>
      <w:r>
        <w:rPr>
          <w:rFonts w:ascii="Calibri" w:hAnsi="Calibri" w:eastAsia="Calibri"/>
          <w:b w:val="0"/>
          <w:color w:val="1B2430"/>
          <w:sz w:val="22"/>
        </w:rPr>
        <w:t xml:space="preserve"> [rabat i limit]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Kanały zgłoszeń:</w:t>
      </w:r>
      <w:r>
        <w:rPr>
          <w:rFonts w:ascii="Calibri" w:hAnsi="Calibri" w:eastAsia="Calibri"/>
          <w:b w:val="0"/>
          <w:color w:val="1B2430"/>
          <w:sz w:val="22"/>
        </w:rPr>
        <w:t xml:space="preserve"> [panel/e-mail/telefon P1]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Data startu:</w:t>
      </w:r>
      <w:r>
        <w:rPr>
          <w:rFonts w:ascii="Calibri" w:hAnsi="Calibri" w:eastAsia="Calibri"/>
          <w:b w:val="0"/>
          <w:color w:val="1B2430"/>
          <w:sz w:val="22"/>
        </w:rPr>
        <w:t xml:space="preserve"> [data]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Osoba prowadząca:</w:t>
      </w:r>
      <w:r>
        <w:rPr>
          <w:rFonts w:ascii="Calibri" w:hAnsi="Calibri" w:eastAsia="Calibri"/>
          <w:b w:val="0"/>
          <w:color w:val="1B2430"/>
          <w:sz w:val="22"/>
        </w:rPr>
        <w:t xml:space="preserve"> [dane]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Załącznik B - Karta Zlecenia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Numer:</w:t>
      </w:r>
      <w:r>
        <w:rPr>
          <w:rFonts w:ascii="Calibri" w:hAnsi="Calibri" w:eastAsia="Calibri"/>
          <w:b w:val="0"/>
          <w:color w:val="1B2430"/>
          <w:sz w:val="22"/>
        </w:rPr>
        <w:t xml:space="preserve"> [AH/rok/numer]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Nazwa Sprawy:</w:t>
      </w:r>
      <w:r>
        <w:rPr>
          <w:rFonts w:ascii="Calibri" w:hAnsi="Calibri" w:eastAsia="Calibri"/>
          <w:b w:val="0"/>
          <w:color w:val="1B2430"/>
          <w:sz w:val="22"/>
        </w:rPr>
        <w:t xml:space="preserve"> [krótka nazwa]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Stan faktyczny:</w:t>
      </w:r>
      <w:r>
        <w:rPr>
          <w:rFonts w:ascii="Calibri" w:hAnsi="Calibri" w:eastAsia="Calibri"/>
          <w:b w:val="0"/>
          <w:color w:val="1B2430"/>
          <w:sz w:val="22"/>
        </w:rPr>
        <w:t xml:space="preserve"> [zwięźle]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Rezultat:</w:t>
      </w:r>
      <w:r>
        <w:rPr>
          <w:rFonts w:ascii="Calibri" w:hAnsi="Calibri" w:eastAsia="Calibri"/>
          <w:b w:val="0"/>
          <w:color w:val="1B2430"/>
          <w:sz w:val="22"/>
        </w:rPr>
        <w:t xml:space="preserve"> [co dokładnie zostanie przekazane lub wykonane]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Poza zakresem:</w:t>
      </w:r>
      <w:r>
        <w:rPr>
          <w:rFonts w:ascii="Calibri" w:hAnsi="Calibri" w:eastAsia="Calibri"/>
          <w:b w:val="0"/>
          <w:color w:val="1B2430"/>
          <w:sz w:val="22"/>
        </w:rPr>
        <w:t xml:space="preserve"> [wyłączenia]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Materiały od Klienta:</w:t>
      </w:r>
      <w:r>
        <w:rPr>
          <w:rFonts w:ascii="Calibri" w:hAnsi="Calibri" w:eastAsia="Calibri"/>
          <w:b w:val="0"/>
          <w:color w:val="1B2430"/>
          <w:sz w:val="22"/>
        </w:rPr>
        <w:t xml:space="preserve"> [lista]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Punkty/cena:</w:t>
      </w:r>
      <w:r>
        <w:rPr>
          <w:rFonts w:ascii="Calibri" w:hAnsi="Calibri" w:eastAsia="Calibri"/>
          <w:b w:val="0"/>
          <w:color w:val="1B2430"/>
          <w:sz w:val="22"/>
        </w:rPr>
        <w:t xml:space="preserve"> [wartość]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Koszty zewnętrzne i limit:</w:t>
      </w:r>
      <w:r>
        <w:rPr>
          <w:rFonts w:ascii="Calibri" w:hAnsi="Calibri" w:eastAsia="Calibri"/>
          <w:b w:val="0"/>
          <w:color w:val="1B2430"/>
          <w:sz w:val="22"/>
        </w:rPr>
        <w:t xml:space="preserve"> [wartość]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Termin zewnętrzny:</w:t>
      </w:r>
      <w:r>
        <w:rPr>
          <w:rFonts w:ascii="Calibri" w:hAnsi="Calibri" w:eastAsia="Calibri"/>
          <w:b w:val="0"/>
          <w:color w:val="1B2430"/>
          <w:sz w:val="22"/>
        </w:rPr>
        <w:t xml:space="preserve"> [data/godzina]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Termin ALDERHALL:</w:t>
      </w:r>
      <w:r>
        <w:rPr>
          <w:rFonts w:ascii="Calibri" w:hAnsi="Calibri" w:eastAsia="Calibri"/>
          <w:b w:val="0"/>
          <w:color w:val="1B2430"/>
          <w:sz w:val="22"/>
        </w:rPr>
        <w:t xml:space="preserve"> [data/godzina albo sposób wyznaczenia]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Osoby uprawnione:</w:t>
      </w:r>
      <w:r>
        <w:rPr>
          <w:rFonts w:ascii="Calibri" w:hAnsi="Calibri" w:eastAsia="Calibri"/>
          <w:b w:val="0"/>
          <w:color w:val="1B2430"/>
          <w:sz w:val="22"/>
        </w:rPr>
        <w:t xml:space="preserve"> [lista]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Specjalista Zewnętrzny:</w:t>
      </w:r>
      <w:r>
        <w:rPr>
          <w:rFonts w:ascii="Calibri" w:hAnsi="Calibri" w:eastAsia="Calibri"/>
          <w:b w:val="0"/>
          <w:color w:val="1B2430"/>
          <w:sz w:val="22"/>
        </w:rPr>
        <w:t xml:space="preserve"> [jeżeli dotyczy]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Prawa do Rezultatu:</w:t>
      </w:r>
      <w:r>
        <w:rPr>
          <w:rFonts w:ascii="Calibri" w:hAnsi="Calibri" w:eastAsia="Calibri"/>
          <w:b w:val="0"/>
          <w:color w:val="1B2430"/>
          <w:sz w:val="22"/>
        </w:rPr>
        <w:t xml:space="preserve"> [licencja/przeniesienie]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Tryb danych:</w:t>
      </w:r>
      <w:r>
        <w:rPr>
          <w:rFonts w:ascii="Calibri" w:hAnsi="Calibri" w:eastAsia="Calibri"/>
          <w:b w:val="0"/>
          <w:color w:val="1B2430"/>
          <w:sz w:val="22"/>
        </w:rPr>
        <w:t xml:space="preserve"> [standard/Tryb Sejf]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Akceptacja Klienta:</w:t>
      </w:r>
      <w:r>
        <w:rPr>
          <w:rFonts w:ascii="Calibri" w:hAnsi="Calibri" w:eastAsia="Calibri"/>
          <w:b w:val="0"/>
          <w:color w:val="1B2430"/>
          <w:sz w:val="22"/>
        </w:rPr>
        <w:t xml:space="preserve"> [data, kanał, osoba]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Nota:</w:t>
      </w:r>
      <w:r>
        <w:rPr>
          <w:rFonts w:ascii="Calibri" w:hAnsi="Calibri" w:eastAsia="Calibri"/>
          <w:b w:val="0"/>
          <w:color w:val="1B2430"/>
          <w:sz w:val="22"/>
        </w:rPr>
        <w:t xml:space="preserve"> Wzór nie jest opinią prawną. Przed wdrożeniem należy zweryfikować dane rejestrowe ARSIMO, model VAT, ubezpieczenie OC, limity odpowiedzialności, prawa autorskie i zgodność z konkretnym sposobem zawierania umów.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F6B7A"/>
        <w:sz w:val="17"/>
      </w:rPr>
      <w:t xml:space="preserve">31.07.2026  |  strona </w:t>
    </w:r>
    <w:r>
      <w:rPr>
        <w:rFonts w:ascii="Calibri" w:hAnsi="Calibri" w:eastAsia="Calibri"/>
        <w:color w:val="5F6B7A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5F6B7A"/>
        <w:sz w:val="17"/>
      </w:rPr>
      <w:t>ALDERHALL  |  DOKUMENT ROBOCZY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Arial" w:hAnsi="Arial"/>
      </w:rPr>
    </w:lvl>
  </w:abstract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0"/>
  </w:num>
  <w:num w:numId="14">
    <w:abstractNumId w:val="9"/>
    <w:lvlOverride w:ilvl="0">
      <w:startOverride w:val="3"/>
    </w:lvlOverride>
  </w:num>
  <w:num w:numId="15">
    <w:abstractNumId w:val="10"/>
  </w:num>
  <w:num w:numId="16">
    <w:abstractNumId w:val="9"/>
    <w:lvlOverride w:ilvl="0">
      <w:startOverride w:val="5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10"/>
  </w:num>
  <w:num w:numId="25">
    <w:abstractNumId w:val="9"/>
    <w:lvlOverride w:ilvl="0">
      <w:startOverride w:val="3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  <w:lvlOverride w:ilvl="0">
      <w:startOverride w:val="1"/>
    </w:lvlOverride>
  </w:num>
  <w:num w:numId="31">
    <w:abstractNumId w:val="9"/>
    <w:lvlOverride w:ilvl="0">
      <w:startOverride w:val="1"/>
    </w:lvlOverride>
  </w:num>
  <w:num w:numId="32">
    <w:abstractNumId w:val="10"/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color w:val="1B24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52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5BF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 w:line="252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5B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B3E9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02_umowa_ramowa</dc:title>
  <dc:subject>ALDERHALL - dokument roboczy</dc:subject>
  <dc:creator/>
  <cp:keywords>ALDERHALL, Arsimo, biuro operacyjne</cp:keywords>
  <dc:description>Wersja robocza do przeglądu przed użyciem produkcyjnym.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